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404"/>
      </w:tblGrid>
      <w:tr w:rsidR="008F029A" w:rsidRPr="00A342BD" w:rsidTr="00804131">
        <w:trPr>
          <w:trHeight w:val="1079"/>
        </w:trPr>
        <w:tc>
          <w:tcPr>
            <w:tcW w:w="4404" w:type="dxa"/>
          </w:tcPr>
          <w:p w:rsidR="008F029A" w:rsidRPr="00A342BD" w:rsidRDefault="008F029A" w:rsidP="0080413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342B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</w:t>
            </w:r>
            <w:r w:rsidRPr="00A342B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3385" cy="683895"/>
                  <wp:effectExtent l="0" t="0" r="5715" b="1905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29A" w:rsidRPr="00A342BD" w:rsidRDefault="008F029A" w:rsidP="0080413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342B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Република Србија</w:t>
            </w:r>
          </w:p>
        </w:tc>
      </w:tr>
      <w:tr w:rsidR="008F029A" w:rsidRPr="00A342BD" w:rsidTr="00804131">
        <w:tc>
          <w:tcPr>
            <w:tcW w:w="4404" w:type="dxa"/>
          </w:tcPr>
          <w:p w:rsidR="008F029A" w:rsidRPr="00A342BD" w:rsidRDefault="008F029A" w:rsidP="008041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МИНИСТАРСТВО ФИНАНСИЈА </w:t>
            </w:r>
          </w:p>
          <w:p w:rsidR="008F029A" w:rsidRPr="00A342BD" w:rsidRDefault="008F029A" w:rsidP="008F0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Број:</w:t>
            </w:r>
            <w:r w:rsidRPr="00A342B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A342BD" w:rsidRPr="00A342BD">
              <w:rPr>
                <w:rStyle w:val="ng-star-inserted"/>
                <w:rFonts w:ascii="var(--fontName)" w:hAnsi="var(--fontName)"/>
                <w:sz w:val="24"/>
                <w:szCs w:val="24"/>
                <w:shd w:val="clear" w:color="auto" w:fill="FFFFFF"/>
              </w:rPr>
              <w:t>003561589 2024 10520 004 005 012 001</w:t>
            </w:r>
          </w:p>
        </w:tc>
      </w:tr>
      <w:tr w:rsidR="008F029A" w:rsidRPr="00A342BD" w:rsidTr="00804131">
        <w:tc>
          <w:tcPr>
            <w:tcW w:w="4404" w:type="dxa"/>
          </w:tcPr>
          <w:p w:rsidR="008F029A" w:rsidRPr="00A342BD" w:rsidRDefault="00A342BD" w:rsidP="00804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342BD">
              <w:rPr>
                <w:rFonts w:ascii="Times New Roman" w:hAnsi="Times New Roman"/>
                <w:sz w:val="24"/>
                <w:szCs w:val="24"/>
                <w:lang w:val="sr-Cyrl-RS"/>
              </w:rPr>
              <w:t>19</w:t>
            </w:r>
            <w:r w:rsidR="008F029A" w:rsidRPr="00A342BD">
              <w:rPr>
                <w:rFonts w:ascii="Times New Roman" w:hAnsi="Times New Roman"/>
                <w:sz w:val="24"/>
                <w:szCs w:val="24"/>
                <w:lang w:val="sr-Cyrl-RS"/>
              </w:rPr>
              <w:t>. децембар 2024. године</w:t>
            </w:r>
          </w:p>
        </w:tc>
      </w:tr>
      <w:tr w:rsidR="008F029A" w:rsidRPr="00A342BD" w:rsidTr="00804131">
        <w:trPr>
          <w:trHeight w:val="198"/>
        </w:trPr>
        <w:tc>
          <w:tcPr>
            <w:tcW w:w="4404" w:type="dxa"/>
          </w:tcPr>
          <w:p w:rsidR="008F029A" w:rsidRPr="00A342BD" w:rsidRDefault="008F029A" w:rsidP="00804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342BD">
              <w:rPr>
                <w:rFonts w:ascii="Times New Roman" w:hAnsi="Times New Roman"/>
                <w:sz w:val="24"/>
                <w:szCs w:val="24"/>
                <w:lang w:val="sr-Cyrl-RS"/>
              </w:rPr>
              <w:t>Кнеза Милоша 20</w:t>
            </w:r>
          </w:p>
          <w:p w:rsidR="008F029A" w:rsidRPr="00A342BD" w:rsidRDefault="008F029A" w:rsidP="00804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342BD">
              <w:rPr>
                <w:rFonts w:ascii="Times New Roman" w:hAnsi="Times New Roman"/>
                <w:sz w:val="24"/>
                <w:szCs w:val="24"/>
                <w:lang w:val="sr-Cyrl-RS"/>
              </w:rPr>
              <w:t>Б е о г р а д</w:t>
            </w:r>
          </w:p>
        </w:tc>
      </w:tr>
    </w:tbl>
    <w:p w:rsidR="008F029A" w:rsidRPr="00A342BD" w:rsidRDefault="008F029A" w:rsidP="008F0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029A" w:rsidRPr="00A342BD" w:rsidRDefault="008F029A" w:rsidP="008F0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>На основу члана 23. став 2. Закона о државној управи („Службени гласник РС”, бр. 79/05, 101/07, 95/10, 99/14, 30/18 - др. закон и 47/18),</w:t>
      </w:r>
    </w:p>
    <w:p w:rsidR="008F029A" w:rsidRPr="00A342BD" w:rsidRDefault="008F029A" w:rsidP="008F02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029A" w:rsidRPr="00A342BD" w:rsidRDefault="008F029A" w:rsidP="008F02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  <w:t>Министар финансија доноси</w:t>
      </w:r>
    </w:p>
    <w:p w:rsidR="008F029A" w:rsidRPr="00A342BD" w:rsidRDefault="008F029A" w:rsidP="008F02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D61C4" w:rsidRPr="00A342BD" w:rsidRDefault="007C2DB4" w:rsidP="008F0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342BD">
        <w:rPr>
          <w:rFonts w:ascii="Times New Roman" w:hAnsi="Times New Roman"/>
          <w:b/>
          <w:sz w:val="24"/>
          <w:szCs w:val="24"/>
          <w:lang w:val="sr-Cyrl-RS"/>
        </w:rPr>
        <w:t xml:space="preserve">ОБЈАШЊЕЊЕ </w:t>
      </w:r>
    </w:p>
    <w:p w:rsidR="00CD61C4" w:rsidRPr="00A342BD" w:rsidRDefault="007C2DB4" w:rsidP="008F0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342BD">
        <w:rPr>
          <w:rFonts w:ascii="Times New Roman" w:hAnsi="Times New Roman"/>
          <w:b/>
          <w:sz w:val="24"/>
          <w:szCs w:val="24"/>
          <w:lang w:val="sr-Cyrl-RS"/>
        </w:rPr>
        <w:t xml:space="preserve">У ВЕЗИ СА ПОПИСОМ ЗАЛИХА НЕСАГОРЕВАЈУЋЕГ ДУВАНА </w:t>
      </w:r>
    </w:p>
    <w:p w:rsidR="007C2DB4" w:rsidRPr="00A342BD" w:rsidRDefault="007C2DB4" w:rsidP="008F0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342BD">
        <w:rPr>
          <w:rFonts w:ascii="Times New Roman" w:hAnsi="Times New Roman"/>
          <w:b/>
          <w:sz w:val="24"/>
          <w:szCs w:val="24"/>
          <w:lang w:val="sr-Cyrl-RS"/>
        </w:rPr>
        <w:t>СА СТАЊЕМ НА ДАН 31. ДЕЦЕМБРА 2024. ГОДИНЕ</w:t>
      </w:r>
    </w:p>
    <w:p w:rsidR="00220A10" w:rsidRPr="00A342BD" w:rsidRDefault="007C2DB4" w:rsidP="008F0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342BD">
        <w:rPr>
          <w:rFonts w:ascii="Times New Roman" w:hAnsi="Times New Roman"/>
          <w:b/>
          <w:sz w:val="24"/>
          <w:szCs w:val="24"/>
          <w:lang w:val="sr-Cyrl-RS"/>
        </w:rPr>
        <w:t xml:space="preserve">      </w:t>
      </w:r>
    </w:p>
    <w:p w:rsidR="00813D5A" w:rsidRPr="00A342BD" w:rsidRDefault="00220A10" w:rsidP="00813D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  <w:t xml:space="preserve">Одредбом члана 18. став 1. Закона о акцизама („Службени гласник РС”, бр. 22/01, 73/01, 80/02, 80/02 - др. закон, 43/03, 72/03, 43/04, 55/04, 135/04, 46/05, 101/05 - др. закон, 61/07, 5/09, 31/09, 101/10, 43/11, 101/11, 93/12, 119/12, 47/13, 68/14 - др. закон, 142/14, 55/15, 103/15, 108/16, 30/18, 153/20, 53/21, 75/23 и 94/24 - у даљем тексту: Закон), прописано је, између осталог, да је обвезник акцизе дужан да при производњи, пре увоза, односно пре стављања у промет несагоревајућег дувана, обележи контролном акцизном маркицом са QR кодом 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>почев од 1. јануара 2025. године</w:t>
      </w:r>
      <w:r w:rsidRPr="00A342BD">
        <w:rPr>
          <w:rFonts w:ascii="Times New Roman" w:hAnsi="Times New Roman"/>
          <w:sz w:val="24"/>
          <w:szCs w:val="24"/>
          <w:lang w:val="sr-Cyrl-RS"/>
        </w:rPr>
        <w:t>.</w:t>
      </w:r>
    </w:p>
    <w:p w:rsidR="00830F3B" w:rsidRPr="00A342BD" w:rsidRDefault="00813D5A" w:rsidP="00813D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>Одредбом</w:t>
      </w:r>
      <w:r w:rsidRPr="00A342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>ч</w:t>
      </w:r>
      <w:r w:rsidRPr="00A342BD">
        <w:rPr>
          <w:rFonts w:ascii="Times New Roman" w:hAnsi="Times New Roman"/>
          <w:sz w:val="24"/>
          <w:szCs w:val="24"/>
          <w:lang w:val="sr-Cyrl-RS"/>
        </w:rPr>
        <w:t>лан</w:t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>а</w:t>
      </w:r>
      <w:r w:rsidRPr="00A342BD">
        <w:rPr>
          <w:rFonts w:ascii="Times New Roman" w:hAnsi="Times New Roman"/>
          <w:sz w:val="24"/>
          <w:szCs w:val="24"/>
          <w:lang w:val="sr-Cyrl-RS"/>
        </w:rPr>
        <w:t xml:space="preserve"> 22.</w:t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 xml:space="preserve"> Уредбе о изгледу контролне акцизне маркице, контролне акцизне маркице са QR кодом, врсти података на маркици, начину и поступку одобравања и издавања маркица, вођења евиденције о одобреним и издатим маркицама и обележавању акцизних производа контролним акцизним маркицама, односно контролним акцизним маркицама са QR кодом, као и врсти појединачног паковања кафе за крајњу потрошњу које се обележава контролном акцизном маркицом („Службени гласник РС”, број 78/24) прописано је, између осталог, да су п</w:t>
      </w:r>
      <w:r w:rsidRPr="00A342BD">
        <w:rPr>
          <w:rFonts w:ascii="Times New Roman" w:hAnsi="Times New Roman"/>
          <w:sz w:val="24"/>
          <w:szCs w:val="24"/>
          <w:lang w:val="sr-Cyrl-RS"/>
        </w:rPr>
        <w:t>роизвођачи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>, трговци на велико</w:t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342BD">
        <w:rPr>
          <w:rFonts w:ascii="Times New Roman" w:hAnsi="Times New Roman"/>
          <w:sz w:val="24"/>
          <w:szCs w:val="24"/>
          <w:lang w:val="sr-Cyrl-RS"/>
        </w:rPr>
        <w:t xml:space="preserve">и увозници </w:t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 xml:space="preserve">цигарета и алкохолних пића, </w:t>
      </w:r>
      <w:r w:rsidRPr="00A342BD">
        <w:rPr>
          <w:rFonts w:ascii="Times New Roman" w:hAnsi="Times New Roman"/>
          <w:sz w:val="24"/>
          <w:szCs w:val="24"/>
          <w:lang w:val="sr-Cyrl-RS"/>
        </w:rPr>
        <w:t xml:space="preserve">који имају на залихама цигарете и алкохолна пића са налепљеним маркицама које су издате у складу са </w:t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 xml:space="preserve">Уредбом о изгледу контролне акцизне маркице, врсти података на маркици и начину и поступку одобравања и издавања маркица, вођења евиденција о одобреним и издатим маркицама и обележавања цигарета, алкохолних пића и кафе („Службени гласник РС”, бр. 137/04, ....108/17) у обавези да изврше </w:t>
      </w:r>
      <w:r w:rsidRPr="00A342BD">
        <w:rPr>
          <w:rFonts w:ascii="Times New Roman" w:hAnsi="Times New Roman"/>
          <w:sz w:val="24"/>
          <w:szCs w:val="24"/>
          <w:lang w:val="sr-Cyrl-RS"/>
        </w:rPr>
        <w:t>попис залиха тих производа са стањем на дан 31. децембар 2024. године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.</w:t>
      </w:r>
    </w:p>
    <w:p w:rsidR="00813D5A" w:rsidRPr="00A342BD" w:rsidRDefault="00830F3B" w:rsidP="00813D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Произвођачи</w:t>
      </w:r>
      <w:r w:rsidRPr="00A342BD">
        <w:rPr>
          <w:rFonts w:ascii="Times New Roman" w:hAnsi="Times New Roman"/>
          <w:sz w:val="24"/>
          <w:szCs w:val="24"/>
          <w:lang w:val="sr-Cyrl-RS"/>
        </w:rPr>
        <w:t>, односно трговци на велико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имају обавезу да попис залиха изврше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 у свим складиштима, магацинима и акцизним складиштима</w:t>
      </w:r>
      <w:r w:rsidR="00DF0386" w:rsidRPr="00A342BD">
        <w:rPr>
          <w:rFonts w:ascii="Times New Roman" w:hAnsi="Times New Roman"/>
          <w:sz w:val="24"/>
          <w:szCs w:val="24"/>
          <w:lang w:val="sr-Cyrl-RS"/>
        </w:rPr>
        <w:t>,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а у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возници 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ову обавезу имају за наведене акцизне производе који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 се налазе под царинским надзором, односно у фабрици иностраног произвођача и 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да сачине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 пописну листу.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Податци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 из пописних листи 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достављају се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 Министарству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финансија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 на Обрасцу СЗ  - Стање залиха цигарета и алкохолних пића, 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lastRenderedPageBreak/>
        <w:t>најкасније до 31. јануара 2025. године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, при чему се наведени образац може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 xml:space="preserve"> Министарству 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финансија </w:t>
      </w:r>
      <w:r w:rsidR="00813D5A" w:rsidRPr="00A342BD">
        <w:rPr>
          <w:rFonts w:ascii="Times New Roman" w:hAnsi="Times New Roman"/>
          <w:sz w:val="24"/>
          <w:szCs w:val="24"/>
          <w:lang w:val="sr-Cyrl-RS"/>
        </w:rPr>
        <w:t>доставити и електронским путем.</w:t>
      </w:r>
    </w:p>
    <w:p w:rsidR="00240D31" w:rsidRPr="00A342BD" w:rsidRDefault="00220A10" w:rsidP="0024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="00866709" w:rsidRPr="00A342BD">
        <w:rPr>
          <w:rFonts w:ascii="Times New Roman" w:hAnsi="Times New Roman"/>
          <w:sz w:val="24"/>
          <w:szCs w:val="24"/>
          <w:lang w:val="sr-Cyrl-RS"/>
        </w:rPr>
        <w:t>У вези са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наведеним законским и подзаконским одредбама, </w:t>
      </w:r>
      <w:r w:rsidR="00830F3B" w:rsidRPr="00A342BD">
        <w:rPr>
          <w:rFonts w:ascii="Times New Roman" w:hAnsi="Times New Roman"/>
          <w:sz w:val="24"/>
          <w:szCs w:val="24"/>
          <w:lang w:val="sr-Cyrl-RS"/>
        </w:rPr>
        <w:t>произвођачи, трговци на велико, односно увозници</w:t>
      </w:r>
      <w:r w:rsidR="00CD61C4" w:rsidRPr="00A342BD">
        <w:rPr>
          <w:rFonts w:ascii="Times New Roman" w:hAnsi="Times New Roman"/>
          <w:sz w:val="24"/>
          <w:szCs w:val="24"/>
          <w:lang w:val="sr-Cyrl-RS"/>
        </w:rPr>
        <w:t xml:space="preserve"> несагоревајућег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дуван</w:t>
      </w:r>
      <w:r w:rsidR="00CD61C4" w:rsidRPr="00A342BD">
        <w:rPr>
          <w:rFonts w:ascii="Times New Roman" w:hAnsi="Times New Roman"/>
          <w:sz w:val="24"/>
          <w:szCs w:val="24"/>
          <w:lang w:val="sr-Cyrl-RS"/>
        </w:rPr>
        <w:t>а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, који нису имали обавезу обележавања контролним акцизним мар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>к</w:t>
      </w:r>
      <w:r w:rsidR="00866709" w:rsidRPr="00A342BD">
        <w:rPr>
          <w:rFonts w:ascii="Times New Roman" w:hAnsi="Times New Roman"/>
          <w:sz w:val="24"/>
          <w:szCs w:val="24"/>
          <w:lang w:val="sr-Cyrl-RS"/>
        </w:rPr>
        <w:t>ицама несагоревајућег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дуван</w:t>
      </w:r>
      <w:r w:rsidR="00866709" w:rsidRPr="00A342BD">
        <w:rPr>
          <w:rFonts w:ascii="Times New Roman" w:hAnsi="Times New Roman"/>
          <w:sz w:val="24"/>
          <w:szCs w:val="24"/>
          <w:lang w:val="sr-Cyrl-RS"/>
        </w:rPr>
        <w:t>а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>, ради стављања у промет несагоревајућег дувана од 1. јануара 2025. године, који није обележен контролном акцизном маркицом (за коју није ни постојала обавеза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 xml:space="preserve"> обележавања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), потребно је да </w:t>
      </w:r>
      <w:r w:rsidR="0056320C" w:rsidRPr="00A342BD">
        <w:rPr>
          <w:rFonts w:ascii="Times New Roman" w:hAnsi="Times New Roman"/>
          <w:sz w:val="24"/>
          <w:szCs w:val="24"/>
          <w:lang w:val="sr-Cyrl-RS"/>
        </w:rPr>
        <w:t xml:space="preserve">са стањем на дан 31. децембра 2024. године 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>и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зврше попис залиха несагоревајућег дувана у свим складиштима, магацинима и акцизним складиштима, 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>односно да изврше</w:t>
      </w:r>
      <w:r w:rsidR="00A94548" w:rsidRPr="00A342BD">
        <w:rPr>
          <w:rFonts w:ascii="Times New Roman" w:hAnsi="Times New Roman"/>
          <w:sz w:val="24"/>
          <w:szCs w:val="24"/>
          <w:lang w:val="sr-Cyrl-RS"/>
        </w:rPr>
        <w:t xml:space="preserve"> попис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 xml:space="preserve"> залиха несагоревајућег дувана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који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 xml:space="preserve"> се налази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под царинским надзором, односно у фабрици иностраног произвођача и да сачине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 xml:space="preserve"> пописну листу, а да податке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из пописних листи 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>доставе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Министарству финансија најкасније до 31. јануара 2025. године, </w:t>
      </w:r>
      <w:r w:rsidR="00CD61C4" w:rsidRPr="00A342BD">
        <w:rPr>
          <w:rFonts w:ascii="Times New Roman" w:hAnsi="Times New Roman"/>
          <w:sz w:val="24"/>
          <w:szCs w:val="24"/>
          <w:lang w:val="sr-Cyrl-RS"/>
        </w:rPr>
        <w:t>с тим да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се </w:t>
      </w:r>
      <w:r w:rsidR="002B0D03" w:rsidRPr="00A342BD">
        <w:rPr>
          <w:rFonts w:ascii="Times New Roman" w:hAnsi="Times New Roman"/>
          <w:sz w:val="24"/>
          <w:szCs w:val="24"/>
          <w:lang w:val="sr-Cyrl-RS"/>
        </w:rPr>
        <w:t>подаци из пописних листи могу доставити</w:t>
      </w:r>
      <w:r w:rsidR="00240D31" w:rsidRPr="00A342BD">
        <w:rPr>
          <w:rFonts w:ascii="Times New Roman" w:hAnsi="Times New Roman"/>
          <w:sz w:val="24"/>
          <w:szCs w:val="24"/>
          <w:lang w:val="sr-Cyrl-RS"/>
        </w:rPr>
        <w:t xml:space="preserve"> Министарству финансија и електронским путем.</w:t>
      </w:r>
    </w:p>
    <w:p w:rsidR="00866709" w:rsidRPr="00A342BD" w:rsidRDefault="00866709" w:rsidP="0024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  <w:t>Трговци на мало несагоревајућег дувана не врше попис затечених</w:t>
      </w:r>
      <w:r w:rsidRPr="00A342BD">
        <w:rPr>
          <w:sz w:val="24"/>
          <w:szCs w:val="24"/>
        </w:rPr>
        <w:t xml:space="preserve"> </w:t>
      </w:r>
      <w:r w:rsidRPr="00A342BD">
        <w:rPr>
          <w:rFonts w:ascii="Times New Roman" w:hAnsi="Times New Roman"/>
          <w:sz w:val="24"/>
          <w:szCs w:val="24"/>
          <w:lang w:val="sr-Cyrl-RS"/>
        </w:rPr>
        <w:t>залиха несагоревајућег дувана у малопродајним објектима са стањем на дан 31. децембар 2024. године.</w:t>
      </w:r>
    </w:p>
    <w:p w:rsidR="00830F3B" w:rsidRPr="00A342BD" w:rsidRDefault="00830F3B" w:rsidP="0024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30F3B" w:rsidRPr="00A342BD" w:rsidRDefault="002B0D03" w:rsidP="0024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="00830F3B" w:rsidRPr="00A342BD">
        <w:rPr>
          <w:rFonts w:ascii="Times New Roman" w:hAnsi="Times New Roman"/>
          <w:sz w:val="24"/>
          <w:szCs w:val="24"/>
          <w:lang w:val="sr-Cyrl-RS"/>
        </w:rPr>
        <w:t>Попис залиха несагоревајућег дувана треба да садржи следеће податке:</w:t>
      </w:r>
    </w:p>
    <w:p w:rsidR="00830F3B" w:rsidRPr="00A342BD" w:rsidRDefault="00830F3B" w:rsidP="0024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0D03" w:rsidRPr="00A342BD" w:rsidRDefault="002B0D03" w:rsidP="0056320C">
      <w:pPr>
        <w:spacing w:after="0" w:line="259" w:lineRule="auto"/>
        <w:jc w:val="center"/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СТАЊЕ ЗАЛИХА НЕСАГОРЕВАЈУЋЕГ ДУВАНА</w:t>
      </w:r>
    </w:p>
    <w:p w:rsidR="0056320C" w:rsidRPr="00A342BD" w:rsidRDefault="0056320C" w:rsidP="0056320C">
      <w:pPr>
        <w:spacing w:after="0" w:line="259" w:lineRule="auto"/>
        <w:jc w:val="center"/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НА ДАН 31. ДЕЦЕМБРА 2024. ГОДИНЕ</w:t>
      </w:r>
    </w:p>
    <w:p w:rsidR="002B0D03" w:rsidRPr="00A342BD" w:rsidRDefault="002B0D03" w:rsidP="002B0D03">
      <w:pPr>
        <w:spacing w:after="0" w:line="259" w:lineRule="auto"/>
        <w:jc w:val="center"/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</w:pPr>
    </w:p>
    <w:p w:rsidR="002B0D03" w:rsidRPr="00A342BD" w:rsidRDefault="002B0D03" w:rsidP="003C11AE">
      <w:pPr>
        <w:spacing w:after="0" w:line="259" w:lineRule="auto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 xml:space="preserve">I – 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Подаци о произвођачу,</w:t>
      </w:r>
      <w:r w:rsidR="00A94548"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 </w:t>
      </w:r>
      <w:r w:rsidR="00830F3B"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трговцу на велико,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 односно увознику</w:t>
      </w:r>
      <w:r w:rsidR="00A94548"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 несагоревајућег дувана</w:t>
      </w:r>
    </w:p>
    <w:p w:rsidR="002B0D03" w:rsidRPr="00A342BD" w:rsidRDefault="002B0D03" w:rsidP="002B0D03">
      <w:pPr>
        <w:spacing w:after="0" w:line="259" w:lineRule="auto"/>
        <w:jc w:val="center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3"/>
        <w:gridCol w:w="1836"/>
        <w:gridCol w:w="2573"/>
        <w:gridCol w:w="2512"/>
        <w:gridCol w:w="1536"/>
      </w:tblGrid>
      <w:tr w:rsidR="002B0D03" w:rsidRPr="00A342BD" w:rsidTr="00A94548">
        <w:tc>
          <w:tcPr>
            <w:tcW w:w="89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1836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Врста делатности</w:t>
            </w:r>
          </w:p>
        </w:tc>
        <w:tc>
          <w:tcPr>
            <w:tcW w:w="257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2512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Седиште</w:t>
            </w:r>
          </w:p>
        </w:tc>
        <w:tc>
          <w:tcPr>
            <w:tcW w:w="1536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ПИБ</w:t>
            </w:r>
          </w:p>
        </w:tc>
      </w:tr>
      <w:tr w:rsidR="002B0D03" w:rsidRPr="00A342BD" w:rsidTr="00A94548">
        <w:tc>
          <w:tcPr>
            <w:tcW w:w="89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36" w:type="dxa"/>
          </w:tcPr>
          <w:p w:rsidR="002B0D03" w:rsidRPr="00A342BD" w:rsidRDefault="002B0D03" w:rsidP="002B0D03">
            <w:pPr>
              <w:spacing w:after="0" w:line="240" w:lineRule="auto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Произвођач</w:t>
            </w:r>
          </w:p>
        </w:tc>
        <w:tc>
          <w:tcPr>
            <w:tcW w:w="257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12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2B0D03" w:rsidRPr="00A342BD" w:rsidTr="00A94548">
        <w:tc>
          <w:tcPr>
            <w:tcW w:w="89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36" w:type="dxa"/>
          </w:tcPr>
          <w:p w:rsidR="002B0D03" w:rsidRPr="00A342BD" w:rsidRDefault="002B0D03" w:rsidP="002B0D03">
            <w:pPr>
              <w:spacing w:after="0" w:line="240" w:lineRule="auto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Увозник</w:t>
            </w:r>
          </w:p>
        </w:tc>
        <w:tc>
          <w:tcPr>
            <w:tcW w:w="257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12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2B0D03" w:rsidRPr="00A342BD" w:rsidTr="00A94548">
        <w:tc>
          <w:tcPr>
            <w:tcW w:w="89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36" w:type="dxa"/>
          </w:tcPr>
          <w:p w:rsidR="002B0D03" w:rsidRPr="00A342BD" w:rsidRDefault="002B0D03" w:rsidP="002B0D03">
            <w:pPr>
              <w:spacing w:after="0" w:line="240" w:lineRule="auto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Трговац на велико</w:t>
            </w:r>
          </w:p>
        </w:tc>
        <w:tc>
          <w:tcPr>
            <w:tcW w:w="2573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12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</w:tcPr>
          <w:p w:rsidR="002B0D03" w:rsidRPr="00A342BD" w:rsidRDefault="002B0D03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7B00E8" w:rsidRDefault="007B00E8" w:rsidP="002B0D03">
      <w:pPr>
        <w:spacing w:after="160" w:line="259" w:lineRule="auto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</w:p>
    <w:p w:rsidR="002B0D03" w:rsidRPr="00A342BD" w:rsidRDefault="002B0D03" w:rsidP="002B0D03">
      <w:pPr>
        <w:spacing w:after="160" w:line="259" w:lineRule="auto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 xml:space="preserve">II – </w:t>
      </w:r>
      <w:r w:rsidR="00A342BD"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Произвођачи - п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одаци о стању залиха</w:t>
      </w:r>
      <w:r w:rsidR="00A342BD"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 xml:space="preserve"> </w:t>
      </w:r>
      <w:r w:rsidR="00830F3B"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несагоревајућег дувана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 на дан 31.12.2024. године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895"/>
        <w:gridCol w:w="5850"/>
        <w:gridCol w:w="2610"/>
      </w:tblGrid>
      <w:tr w:rsidR="00E829AC" w:rsidRPr="00A342BD" w:rsidTr="007B00E8">
        <w:tc>
          <w:tcPr>
            <w:tcW w:w="895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Ред.</w:t>
            </w:r>
          </w:p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5850" w:type="dxa"/>
          </w:tcPr>
          <w:p w:rsidR="00E829AC" w:rsidRPr="00A342BD" w:rsidRDefault="00E829AC" w:rsidP="00E829AC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Назив робне марке</w:t>
            </w:r>
          </w:p>
          <w:p w:rsidR="00E829AC" w:rsidRPr="00A342BD" w:rsidRDefault="00E829AC" w:rsidP="00E829AC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несагоревајућег дувана</w:t>
            </w:r>
          </w:p>
        </w:tc>
        <w:tc>
          <w:tcPr>
            <w:tcW w:w="2610" w:type="dxa"/>
          </w:tcPr>
          <w:p w:rsidR="00E829AC" w:rsidRPr="00A342BD" w:rsidRDefault="00E829AC" w:rsidP="00866709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Број (количина) појединачног паковања</w:t>
            </w:r>
          </w:p>
        </w:tc>
      </w:tr>
      <w:tr w:rsidR="00E829AC" w:rsidRPr="00A342BD" w:rsidTr="007B00E8">
        <w:tc>
          <w:tcPr>
            <w:tcW w:w="895" w:type="dxa"/>
          </w:tcPr>
          <w:p w:rsidR="00E829AC" w:rsidRPr="00A342BD" w:rsidRDefault="00E63091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85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E829AC" w:rsidRPr="00A342BD" w:rsidTr="007B00E8">
        <w:tc>
          <w:tcPr>
            <w:tcW w:w="895" w:type="dxa"/>
          </w:tcPr>
          <w:p w:rsidR="00E829AC" w:rsidRPr="00A342BD" w:rsidRDefault="00E63091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5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E829AC" w:rsidRPr="00A342BD" w:rsidTr="007B00E8">
        <w:tc>
          <w:tcPr>
            <w:tcW w:w="895" w:type="dxa"/>
          </w:tcPr>
          <w:p w:rsidR="00E829AC" w:rsidRPr="00A342BD" w:rsidRDefault="00E63091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85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E829AC" w:rsidRPr="00A342BD" w:rsidTr="007B00E8">
        <w:tc>
          <w:tcPr>
            <w:tcW w:w="895" w:type="dxa"/>
          </w:tcPr>
          <w:p w:rsidR="00E829AC" w:rsidRPr="00A342BD" w:rsidRDefault="00E63091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85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E829AC" w:rsidRPr="00A342BD" w:rsidTr="007B00E8">
        <w:tc>
          <w:tcPr>
            <w:tcW w:w="895" w:type="dxa"/>
          </w:tcPr>
          <w:p w:rsidR="00E829AC" w:rsidRPr="00A342BD" w:rsidRDefault="00E63091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85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:rsidR="00E829AC" w:rsidRPr="00A342BD" w:rsidRDefault="00E829AC" w:rsidP="002B0D03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2B0D03" w:rsidRDefault="002B0D03" w:rsidP="002B0D03">
      <w:pPr>
        <w:spacing w:after="160" w:line="259" w:lineRule="auto"/>
        <w:jc w:val="center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</w:p>
    <w:p w:rsidR="007B00E8" w:rsidRPr="00A342BD" w:rsidRDefault="007B00E8" w:rsidP="002B0D03">
      <w:pPr>
        <w:spacing w:after="160" w:line="259" w:lineRule="auto"/>
        <w:jc w:val="center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</w:p>
    <w:p w:rsidR="00A342BD" w:rsidRPr="00A342BD" w:rsidRDefault="00A342BD" w:rsidP="007B00E8">
      <w:pPr>
        <w:spacing w:after="160" w:line="259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lastRenderedPageBreak/>
        <w:t xml:space="preserve">II – 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Увозници - подаци о стању залиха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 xml:space="preserve"> 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несагоревајућег дувана на дан 31.12.2024. године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2160"/>
        <w:gridCol w:w="2070"/>
      </w:tblGrid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Ред.</w:t>
            </w:r>
          </w:p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14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Назив робне марке</w:t>
            </w:r>
          </w:p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несагоревајућег дувана</w:t>
            </w:r>
          </w:p>
        </w:tc>
        <w:tc>
          <w:tcPr>
            <w:tcW w:w="216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Број (количина) појединачног паковања</w:t>
            </w:r>
          </w:p>
        </w:tc>
        <w:tc>
          <w:tcPr>
            <w:tcW w:w="2070" w:type="dxa"/>
          </w:tcPr>
          <w:p w:rsid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Земља увоза и</w:t>
            </w:r>
          </w:p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 xml:space="preserve">назив произвођача </w:t>
            </w: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4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4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4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14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14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A342BD" w:rsidRDefault="00A342BD" w:rsidP="002B0D03">
      <w:pPr>
        <w:spacing w:after="160" w:line="259" w:lineRule="auto"/>
        <w:jc w:val="center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</w:p>
    <w:p w:rsidR="00A342BD" w:rsidRPr="00A342BD" w:rsidRDefault="00A342BD" w:rsidP="00A342BD">
      <w:pPr>
        <w:spacing w:after="160" w:line="259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>II</w:t>
      </w:r>
      <w:r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>I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 xml:space="preserve"> – </w:t>
      </w:r>
      <w:r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Трговци на велико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 - подаци о стању залиха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Latn-RS"/>
          <w14:ligatures w14:val="standardContextual"/>
        </w:rPr>
        <w:t xml:space="preserve"> 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несагоревајућег дувана на дан 31.12.2024. године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5"/>
        <w:gridCol w:w="5220"/>
        <w:gridCol w:w="3150"/>
      </w:tblGrid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Ред.</w:t>
            </w:r>
          </w:p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522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Назив робне марке</w:t>
            </w:r>
          </w:p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несагоревајућег дувана</w:t>
            </w:r>
          </w:p>
        </w:tc>
        <w:tc>
          <w:tcPr>
            <w:tcW w:w="315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/>
                <w:bCs/>
                <w:sz w:val="24"/>
                <w:szCs w:val="24"/>
                <w:lang w:val="sr-Cyrl-RS"/>
              </w:rPr>
              <w:t>Број (количина) појединачног паковања</w:t>
            </w: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2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2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2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2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A342BD" w:rsidRPr="00A342BD" w:rsidTr="007B00E8">
        <w:tc>
          <w:tcPr>
            <w:tcW w:w="895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  <w:r w:rsidRPr="00A342BD"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2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342BD" w:rsidRPr="00A342BD" w:rsidRDefault="00A342BD" w:rsidP="00E42A07">
            <w:pPr>
              <w:spacing w:after="0" w:line="240" w:lineRule="auto"/>
              <w:jc w:val="center"/>
              <w:rPr>
                <w:rFonts w:ascii="Times New Roman" w:eastAsia="Aptos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A342BD" w:rsidRPr="00A342BD" w:rsidRDefault="00A342BD" w:rsidP="002B0D03">
      <w:pPr>
        <w:spacing w:after="160" w:line="259" w:lineRule="auto"/>
        <w:jc w:val="center"/>
        <w:rPr>
          <w:rFonts w:ascii="Times New Roman" w:eastAsia="Aptos" w:hAnsi="Times New Roman"/>
          <w:bCs/>
          <w:kern w:val="2"/>
          <w:sz w:val="24"/>
          <w:szCs w:val="24"/>
          <w:lang w:val="sr-Cyrl-RS"/>
          <w14:ligatures w14:val="standardContextual"/>
        </w:rPr>
      </w:pPr>
    </w:p>
    <w:p w:rsidR="00A94548" w:rsidRPr="00A342BD" w:rsidRDefault="00A94548" w:rsidP="00A94548">
      <w:pPr>
        <w:jc w:val="both"/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У _________________________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  <w:t xml:space="preserve">                                                                                                                 Одговорно лице</w:t>
      </w:r>
    </w:p>
    <w:p w:rsidR="00A94548" w:rsidRPr="00A342BD" w:rsidRDefault="00A94548" w:rsidP="00A94548">
      <w:pPr>
        <w:jc w:val="both"/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Дана ____________ 202_. године</w:t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  <w:t>_________________</w:t>
      </w:r>
      <w:r w:rsidR="003C11AE"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ab/>
      </w:r>
      <w:r w:rsidRPr="00A342BD">
        <w:rPr>
          <w:rFonts w:ascii="Times New Roman" w:eastAsia="Aptos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 </w:t>
      </w:r>
    </w:p>
    <w:p w:rsidR="0027715B" w:rsidRPr="00A342BD" w:rsidRDefault="0027715B" w:rsidP="002771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231F20"/>
          <w:sz w:val="24"/>
          <w:szCs w:val="24"/>
        </w:rPr>
      </w:pPr>
      <w:bookmarkStart w:id="0" w:name="_GoBack"/>
      <w:bookmarkEnd w:id="0"/>
    </w:p>
    <w:p w:rsidR="0027715B" w:rsidRPr="00A342BD" w:rsidRDefault="0027715B" w:rsidP="0027715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7715B" w:rsidRPr="00A342BD" w:rsidRDefault="007C2DB4" w:rsidP="00277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Pr="00A342BD">
        <w:rPr>
          <w:rFonts w:ascii="Times New Roman" w:hAnsi="Times New Roman"/>
          <w:sz w:val="24"/>
          <w:szCs w:val="24"/>
          <w:lang w:val="sr-Cyrl-RS"/>
        </w:rPr>
        <w:tab/>
      </w:r>
      <w:r w:rsidR="0027715B" w:rsidRPr="00A342BD">
        <w:rPr>
          <w:rFonts w:ascii="Times New Roman" w:hAnsi="Times New Roman"/>
          <w:sz w:val="24"/>
          <w:szCs w:val="24"/>
          <w:lang w:val="sr-Cyrl-RS"/>
        </w:rPr>
        <w:t>ПРВИ ПОТПРЕДСЕДНИК ВЛАДЕ И МИНИСТАР</w:t>
      </w:r>
    </w:p>
    <w:p w:rsidR="0027715B" w:rsidRPr="00A342BD" w:rsidRDefault="0027715B" w:rsidP="00277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7715B" w:rsidRPr="00A342BD" w:rsidRDefault="0027715B" w:rsidP="00277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342B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Синиша Мали    </w:t>
      </w:r>
    </w:p>
    <w:p w:rsidR="0027715B" w:rsidRPr="00A342BD" w:rsidRDefault="0027715B" w:rsidP="0027715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7715B" w:rsidRPr="00A342BD" w:rsidRDefault="0027715B" w:rsidP="0027715B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13791" w:rsidRPr="00A342BD" w:rsidRDefault="00E13791" w:rsidP="00A9454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sectPr w:rsidR="00E13791" w:rsidRPr="00A3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Name)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86"/>
    <w:rsid w:val="00220A10"/>
    <w:rsid w:val="00240D31"/>
    <w:rsid w:val="0027715B"/>
    <w:rsid w:val="002B0D03"/>
    <w:rsid w:val="00380B86"/>
    <w:rsid w:val="003C11AE"/>
    <w:rsid w:val="0056320C"/>
    <w:rsid w:val="007B00E8"/>
    <w:rsid w:val="007C2DB4"/>
    <w:rsid w:val="00813D5A"/>
    <w:rsid w:val="00830F3B"/>
    <w:rsid w:val="00866709"/>
    <w:rsid w:val="008B7C4E"/>
    <w:rsid w:val="008F029A"/>
    <w:rsid w:val="00A342BD"/>
    <w:rsid w:val="00A94548"/>
    <w:rsid w:val="00AB1017"/>
    <w:rsid w:val="00C27F42"/>
    <w:rsid w:val="00CD61C4"/>
    <w:rsid w:val="00DF0386"/>
    <w:rsid w:val="00E13791"/>
    <w:rsid w:val="00E63091"/>
    <w:rsid w:val="00E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B3FAE-95E8-4752-84A9-E24A374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9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29A"/>
    <w:rPr>
      <w:color w:val="0000FF"/>
      <w:u w:val="single"/>
    </w:rPr>
  </w:style>
  <w:style w:type="character" w:customStyle="1" w:styleId="trs">
    <w:name w:val="trs"/>
    <w:basedOn w:val="DefaultParagraphFont"/>
    <w:rsid w:val="008F029A"/>
  </w:style>
  <w:style w:type="table" w:customStyle="1" w:styleId="TableGrid1">
    <w:name w:val="Table Grid1"/>
    <w:basedOn w:val="TableNormal"/>
    <w:next w:val="TableGrid"/>
    <w:uiPriority w:val="39"/>
    <w:rsid w:val="002B0D0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A3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Nikolić</dc:creator>
  <cp:keywords/>
  <dc:description/>
  <cp:lastModifiedBy>Sonja Nikolić</cp:lastModifiedBy>
  <cp:revision>15</cp:revision>
  <dcterms:created xsi:type="dcterms:W3CDTF">2024-12-18T13:14:00Z</dcterms:created>
  <dcterms:modified xsi:type="dcterms:W3CDTF">2024-12-20T12:17:00Z</dcterms:modified>
</cp:coreProperties>
</file>