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F" w:rsidRDefault="00AD78B3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11. став 4. Закона о републичким административним таксама („Службени гласник РС”, бр. 43/03, 51/03 – исправка, 61/05, 101/05 – др. закон, 5/09, 54/09, 50/11, 93/12, 65/13 – др. закон, 83/15, 112/15, 113/17, 3/18 – исправка, 95/18, 86/19, 90</w:t>
      </w:r>
      <w:r>
        <w:rPr>
          <w:rFonts w:ascii="Verdana" w:eastAsia="Verdana" w:hAnsi="Verdana" w:cs="Verdana"/>
        </w:rPr>
        <w:t>/19 – исправка, 144/20, 138/22, 92/23 и 94/24),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Министар спољних послова доноси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врстама посебних услуга дипломатско-конзуларних представништава, износу трошкова за посебне услуге и начину евидентирања прихода по основу наплаћених конзуларних та</w:t>
      </w:r>
      <w:r>
        <w:rPr>
          <w:rFonts w:ascii="Verdana" w:eastAsia="Verdana" w:hAnsi="Verdana" w:cs="Verdana"/>
          <w:b/>
        </w:rPr>
        <w:t>кси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 се посебне услуге које странкама пружају дипломатско-конзуларна представништва Републике Србије (у даљем тексту: ДКП), висина трошкова по том основу и начин њихове наплате, као и начин евидентирања прихода по основу т</w:t>
      </w:r>
      <w:r>
        <w:rPr>
          <w:rFonts w:ascii="Verdana" w:eastAsia="Verdana" w:hAnsi="Verdana" w:cs="Verdana"/>
        </w:rPr>
        <w:t>их услуга и наплаћених републичких административних такси.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Услугама ДКП, у смислу овог правилника, сматрају се и услуге које по захтевима упућеним ДКП врши Mинистарство спољних послова (у даљем тексту: МСП) као посредник између странака и ДКП.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 xml:space="preserve">Под </w:t>
      </w:r>
      <w:r>
        <w:rPr>
          <w:rFonts w:ascii="Verdana" w:eastAsia="Verdana" w:hAnsi="Verdana" w:cs="Verdana"/>
        </w:rPr>
        <w:t>посебним услугама, у смислу овог правилника, подразумевају се: обезбеђење образаца који се на основу закона и других прописа користе за покретање поступка, за издавање списа или извршење радње, коришћење система веза и опреме ДКП, поштанскe услуге, ангажов</w:t>
      </w:r>
      <w:r>
        <w:rPr>
          <w:rFonts w:ascii="Verdana" w:eastAsia="Verdana" w:hAnsi="Verdana" w:cs="Verdana"/>
        </w:rPr>
        <w:t>ање службених возила ДКП, умножавање документације и друге услуге у складу са прописима.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Обавеза плаћања трошкова за посебне услуге настаје подношењем захтева за покретање поступка, за издавањe списа, односно извршење радње ДКП непосредно или преко</w:t>
      </w:r>
      <w:r>
        <w:rPr>
          <w:rFonts w:ascii="Verdana" w:eastAsia="Verdana" w:hAnsi="Verdana" w:cs="Verdana"/>
        </w:rPr>
        <w:t xml:space="preserve"> МСП.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 xml:space="preserve">Трошкови за посебне услуге плаћају се, по правилу, у целости приликом подношења захтева, уколико су у том тренутку познати врста и коначан обим посебних услуга по том захтеву. 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Уколико током поступка по захтеву настане потреба за пружањем усл</w:t>
      </w:r>
      <w:r>
        <w:rPr>
          <w:rFonts w:ascii="Verdana" w:eastAsia="Verdana" w:hAnsi="Verdana" w:cs="Verdana"/>
        </w:rPr>
        <w:t>уга у већем обиму од траженог или дође до пружања друге врсте услуге, могућа је и накнадна наплата трошкова током поступка.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Уколико посебна услуга у целини или делимично није извршена, уплатиоцу ће се вратити износ плаћен на име посебне услуге сразмеран де</w:t>
      </w:r>
      <w:r>
        <w:rPr>
          <w:rFonts w:ascii="Verdana" w:eastAsia="Verdana" w:hAnsi="Verdana" w:cs="Verdana"/>
        </w:rPr>
        <w:t>лу услуге који није извршен.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lastRenderedPageBreak/>
        <w:t>Трошкови за посебне услуге приликом издавања путног листа, не наплаћују се када је подносилац захтева жртва трговине људима или се у току туристичког боравка у иностранству нашао у тешкој материјалној ситуацији због нес</w:t>
      </w:r>
      <w:r>
        <w:rPr>
          <w:rFonts w:ascii="Verdana" w:eastAsia="Verdana" w:hAnsi="Verdana" w:cs="Verdana"/>
        </w:rPr>
        <w:t>танка пасоша (крађа или губитак).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Ако подносилац захтева, у складу са општеприхваћеним правилима међународног права и потврђеним међународним уговорима, овласти ДКП да предузима потребне радње ради остваривања његових права из оставине или другог п</w:t>
      </w:r>
      <w:r>
        <w:rPr>
          <w:rFonts w:ascii="Verdana" w:eastAsia="Verdana" w:hAnsi="Verdana" w:cs="Verdana"/>
        </w:rPr>
        <w:t xml:space="preserve">отраживања, ДКП ће настале трошкове, у вези са извршењем тих радњи, наплатити првенствено из средстава остварене оставине или реализованог потраживања, и то у страној валути. 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Када је са другом државом уговорено да се уместо таксе за визу наплаћују</w:t>
      </w:r>
      <w:r>
        <w:rPr>
          <w:rFonts w:ascii="Verdana" w:eastAsia="Verdana" w:hAnsi="Verdana" w:cs="Verdana"/>
        </w:rPr>
        <w:t xml:space="preserve"> трошкови за посебне услуге („манипулативни трошкови”) примењује се тај уговор, а ако плаћање манипулативних трошкова није уговорено, примениће се принцип реципроцитета.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 xml:space="preserve">Плаћање трошкова за посебне услуге врши се у динарима и у девизама прописаним </w:t>
      </w:r>
      <w:r>
        <w:rPr>
          <w:rFonts w:ascii="Verdana" w:eastAsia="Verdana" w:hAnsi="Verdana" w:cs="Verdana"/>
        </w:rPr>
        <w:t>одлуком којом се одређују врсте девиза у којима се плаћају републичке административне таксе код дипломатско-конзуларних представништава Републике Србије и о висини курса динара за прерачунавање динарских износа такси у девизе (у даљем тексту: Одлука).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Изуз</w:t>
      </w:r>
      <w:r>
        <w:rPr>
          <w:rFonts w:ascii="Verdana" w:eastAsia="Verdana" w:hAnsi="Verdana" w:cs="Verdana"/>
        </w:rPr>
        <w:t>етно од става 1. овог члана, када се плаћање врши у валути која није прописана Одлуком, прерачун се врши по утврђеном курсу евра у односу на ту валуту, у складу са Одлуком.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Трошкови конверзије, трансфера новчаних средстава (провизија) и прихватања платне к</w:t>
      </w:r>
      <w:r>
        <w:rPr>
          <w:rFonts w:ascii="Verdana" w:eastAsia="Verdana" w:hAnsi="Verdana" w:cs="Verdana"/>
        </w:rPr>
        <w:t>артице падају на терет странке.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Плаћање посебне услуге врши се у готовом, платном картицом, електронским путем, уплатницом или на други начин који је прописан и примењује се у банкарско-финансијском систему земље пријема.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Подносилац захтева плаћа накнаде за посебне услуге у следећим износима, и то за: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  <w:gridCol w:w="550"/>
      </w:tblGrid>
      <w:tr w:rsidR="008861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све обрасце</w:t>
            </w:r>
          </w:p>
        </w:tc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 EUR</w:t>
            </w:r>
          </w:p>
        </w:tc>
      </w:tr>
      <w:tr w:rsidR="008861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прослеђивање докумената електронским путем у управно-правним и другим поступцима, односно по захтеву подносиоца</w:t>
            </w:r>
          </w:p>
        </w:tc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 EUR</w:t>
            </w:r>
          </w:p>
        </w:tc>
      </w:tr>
      <w:tr w:rsidR="008861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3) узимање биометријских података приликом подношења захтева за пасош (фотографисање, узимање отисака прстију, дигитални потпис), скенирање докумената, електронско прослеђивање захтева, штампање </w:t>
            </w:r>
            <w:r>
              <w:rPr>
                <w:rFonts w:ascii="Verdana" w:eastAsia="Verdana" w:hAnsi="Verdana" w:cs="Verdana"/>
              </w:rPr>
              <w:lastRenderedPageBreak/>
              <w:t>захтева и потврде о пријему захтева, штампање потврде о уруче</w:t>
            </w:r>
            <w:r>
              <w:rPr>
                <w:rFonts w:ascii="Verdana" w:eastAsia="Verdana" w:hAnsi="Verdana" w:cs="Verdana"/>
              </w:rPr>
              <w:t>њу захтева</w:t>
            </w:r>
          </w:p>
        </w:tc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20 EUR</w:t>
            </w:r>
          </w:p>
        </w:tc>
      </w:tr>
      <w:tr w:rsidR="008861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4) коришћење компјутерске опреме за вршење услуге (скенирање, штампање и слично) осим за услуге у тачки 3) овог члана</w:t>
            </w:r>
          </w:p>
        </w:tc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 EUR</w:t>
            </w:r>
          </w:p>
        </w:tc>
      </w:tr>
      <w:tr w:rsidR="008861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5) фотокопирање до 10 страница</w:t>
            </w:r>
          </w:p>
        </w:tc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 EUR</w:t>
            </w:r>
          </w:p>
        </w:tc>
      </w:tr>
      <w:tr w:rsidR="008861E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6) фотокопирање преко 10 страница</w:t>
            </w:r>
          </w:p>
        </w:tc>
        <w:tc>
          <w:tcPr>
            <w:tcW w:w="0" w:type="auto"/>
          </w:tcPr>
          <w:p w:rsidR="008861EF" w:rsidRDefault="00AD78B3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 EUR</w:t>
            </w:r>
          </w:p>
        </w:tc>
      </w:tr>
    </w:tbl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НАПОМЕНА: Тачка 1) овог члана, не примењује се за образац захтева за издавање визе;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Тачка 2) овог члана, не примењује се на поступке издавања визе и издавања путних исправа.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Подносилац захтева плаћа накнаде за остале посебне услуге, и то за: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1) по</w:t>
      </w:r>
      <w:r>
        <w:rPr>
          <w:rFonts w:ascii="Verdana" w:eastAsia="Verdana" w:hAnsi="Verdana" w:cs="Verdana"/>
        </w:rPr>
        <w:t>штанске услуге – у висини стварне цене поштанске услуге, изузев у случајевима накнаде трошкова доставе пасоша преко дипломатско-конзуларног представништва путем ДХЛ, када су трошкови утврђени уредбом којом се уређују цене образаца путних исправа и виза и т</w:t>
      </w:r>
      <w:r>
        <w:rPr>
          <w:rFonts w:ascii="Verdana" w:eastAsia="Verdana" w:hAnsi="Verdana" w:cs="Verdana"/>
        </w:rPr>
        <w:t>рошкови достављања пасоша преко ДКП Републике Србије;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2) трошкове превоза – у висини цене утрошеног горива (до одредишта и назад);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3) трошкове прибављања страних исправа и других докумената – у износу стварних трошкова у земљи у којој се издаје исправа.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</w:t>
      </w:r>
      <w:r>
        <w:rPr>
          <w:rFonts w:ascii="Verdana" w:eastAsia="Verdana" w:hAnsi="Verdana" w:cs="Verdana"/>
        </w:rPr>
        <w:t>ан 12.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У ДКП се води евиденција о наплаћеним републичким административним таксама и трошковима за пружене посебне услуге.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Евиденција из става 1. води се у електронском облику.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Евиденција о наплаћеним републичким административним таксама и трошкови</w:t>
      </w:r>
      <w:r>
        <w:rPr>
          <w:rFonts w:ascii="Verdana" w:eastAsia="Verdana" w:hAnsi="Verdana" w:cs="Verdana"/>
        </w:rPr>
        <w:t xml:space="preserve">ма за пружене посебне услуге у ДКП садржи следеће рубрике: 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1) Редни број;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2) Датум;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3) Шифра конзуларне радње;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4) Подносилац захтева;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5) Одељак А (Тар. бр. и износ);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6) Одељак Б (Тар. бр. и износ);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7) Посебни трошкови;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8) Укупно;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lastRenderedPageBreak/>
        <w:t>9) Напомена.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Образац евид</w:t>
      </w:r>
      <w:r>
        <w:rPr>
          <w:rFonts w:ascii="Verdana" w:eastAsia="Verdana" w:hAnsi="Verdana" w:cs="Verdana"/>
        </w:rPr>
        <w:t>енције из става 1. овог члана одштампан је уз овај правилник и чини његов саставни део (Образац бр. 1).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Евиденција о наплаћеним републичким административним таксама и трошковима за пружене посебне услуге у ДКП закључује се последњег дана у месецу, стављањем испод последњег редног броја клаузуле „Закључено са редним бројем...”, исписивањем збира наплаћених ре</w:t>
      </w:r>
      <w:r>
        <w:rPr>
          <w:rFonts w:ascii="Verdana" w:eastAsia="Verdana" w:hAnsi="Verdana" w:cs="Verdana"/>
        </w:rPr>
        <w:t>публичких административних такси и трошкова за посебне услуге у односном месецу (бројчано и текстом) и попуњавањем рубрика: „ПРЕДАО, шеф конзуларног одељења”, „ОВЕРАВА, шеф ДКП” и „ПРИМИО, сарадник за финансијске послове”.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 xml:space="preserve">Закључена евиденција из става 1. </w:t>
      </w:r>
      <w:r>
        <w:rPr>
          <w:rFonts w:ascii="Verdana" w:eastAsia="Verdana" w:hAnsi="Verdana" w:cs="Verdana"/>
        </w:rPr>
        <w:t xml:space="preserve">овог члана штампа се у три примерка, сваки примерак потписују лица из тог става. 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Два одштампана примерка евиденције потписана од лица из става 2. овог члана достављају се организационој јединици МСП надлежној за финансијске послове у року од 10 дана по ис</w:t>
      </w:r>
      <w:r>
        <w:rPr>
          <w:rFonts w:ascii="Verdana" w:eastAsia="Verdana" w:hAnsi="Verdana" w:cs="Verdana"/>
        </w:rPr>
        <w:t>теку односног месеца, а један примерак остаје у ДКП.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 xml:space="preserve">Као доказ о плаћеној републичкој административној такси и посебним услугама ДКП служи признаница која се издаје у три примерка на Обрасцу бр. 2, који је одштампан уз овај правилник и чини његов </w:t>
      </w:r>
      <w:r>
        <w:rPr>
          <w:rFonts w:ascii="Verdana" w:eastAsia="Verdana" w:hAnsi="Verdana" w:cs="Verdana"/>
        </w:rPr>
        <w:t>саставни део.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Признаница се издаје на српском језику ћириличким писмом, са преводом текстова рубрика, као поднаслов, на енглеском или другом страном језику који је у службеној употреби у држави пријема.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Први примерак признанице, у случајевима када о захтев</w:t>
      </w:r>
      <w:r>
        <w:rPr>
          <w:rFonts w:ascii="Verdana" w:eastAsia="Verdana" w:hAnsi="Verdana" w:cs="Verdana"/>
        </w:rPr>
        <w:t>у за извршење радње или издавање списа решава републички орган, спаја се са предметом и служи као доказ о плаћеној републичкој административној такси, други остаје у архиви ДКП, и трећи је за подносиоца захтева.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</w:t>
      </w:r>
      <w:r>
        <w:rPr>
          <w:rFonts w:ascii="Verdana" w:eastAsia="Verdana" w:hAnsi="Verdana" w:cs="Verdana"/>
        </w:rPr>
        <w:t>ика престаје да важи Правилник о врстама посебних услуга дипломатско-конзуларних представништава, износу трошкова за посебне услуге и начину евидентирања прихода по основу наплаћених конзуларних такси („Службени гласник РС”, бр. 102/10, 89/13 и 23/17).</w:t>
      </w:r>
    </w:p>
    <w:p w:rsidR="008861EF" w:rsidRDefault="00AD78B3">
      <w:pPr>
        <w:spacing w:line="210" w:lineRule="atLeast"/>
        <w:jc w:val="center"/>
      </w:pPr>
      <w:r>
        <w:rPr>
          <w:rFonts w:ascii="Verdana" w:eastAsia="Verdana" w:hAnsi="Verdana" w:cs="Verdana"/>
        </w:rPr>
        <w:t>Чла</w:t>
      </w:r>
      <w:r>
        <w:rPr>
          <w:rFonts w:ascii="Verdana" w:eastAsia="Verdana" w:hAnsi="Verdana" w:cs="Verdana"/>
        </w:rPr>
        <w:t>н 17.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1. јануара 2025. године.</w:t>
      </w:r>
    </w:p>
    <w:p w:rsidR="008861EF" w:rsidRDefault="00AD78B3">
      <w:pPr>
        <w:spacing w:line="210" w:lineRule="atLeast"/>
        <w:jc w:val="right"/>
      </w:pPr>
      <w:r>
        <w:rPr>
          <w:rFonts w:ascii="Verdana" w:eastAsia="Verdana" w:hAnsi="Verdana" w:cs="Verdana"/>
        </w:rPr>
        <w:t>Број 415-8511-КС120/2024</w:t>
      </w:r>
    </w:p>
    <w:p w:rsidR="008861EF" w:rsidRDefault="00AD78B3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19. децембра 2024. године</w:t>
      </w:r>
    </w:p>
    <w:p w:rsidR="008861EF" w:rsidRDefault="00AD78B3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8861EF" w:rsidRDefault="00AD78B3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Марко Ђурић,</w:t>
      </w:r>
      <w:r>
        <w:rPr>
          <w:rFonts w:ascii="Verdana" w:eastAsia="Verdana" w:hAnsi="Verdana" w:cs="Verdana"/>
        </w:rPr>
        <w:t xml:space="preserve"> с.р.</w:t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3552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P58Jikjsj0AAAAABJRU5ErkJggg==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5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1EF" w:rsidRDefault="00AD78B3">
      <w:pPr>
        <w:spacing w:line="210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703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AAAABJRU5ErkJggg==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1E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EF"/>
    <w:rsid w:val="008861EF"/>
    <w:rsid w:val="00A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7D0D2-4357-4192-915A-A2817F0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bmp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2024-12-26T09:24:00Z</dcterms:created>
  <dcterms:modified xsi:type="dcterms:W3CDTF">2024-12-26T09:24:00Z</dcterms:modified>
</cp:coreProperties>
</file>