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E0B4" w14:textId="77777777" w:rsidR="0009645F" w:rsidRPr="0009645F" w:rsidRDefault="0009645F" w:rsidP="00897301">
      <w:pPr>
        <w:tabs>
          <w:tab w:val="left" w:pos="900"/>
        </w:tabs>
        <w:jc w:val="center"/>
        <w:rPr>
          <w:rFonts w:ascii="Times New Roman" w:hAnsi="Times New Roman"/>
          <w:b/>
          <w:sz w:val="23"/>
          <w:szCs w:val="23"/>
          <w:lang w:val="sr-Cyrl-RS"/>
        </w:rPr>
      </w:pPr>
    </w:p>
    <w:p w14:paraId="57CEBEAA" w14:textId="7D8BDC27" w:rsidR="007104F0" w:rsidRPr="00E00086" w:rsidRDefault="007104F0" w:rsidP="00897301">
      <w:pPr>
        <w:tabs>
          <w:tab w:val="left" w:pos="900"/>
        </w:tabs>
        <w:jc w:val="center"/>
        <w:rPr>
          <w:rFonts w:ascii="Times New Roman" w:hAnsi="Times New Roman"/>
          <w:b/>
          <w:sz w:val="23"/>
          <w:szCs w:val="23"/>
          <w:lang w:val="sr-Cyrl-RS"/>
        </w:rPr>
      </w:pPr>
      <w:r w:rsidRPr="00E00086">
        <w:rPr>
          <w:rFonts w:ascii="Times New Roman" w:hAnsi="Times New Roman"/>
          <w:b/>
          <w:sz w:val="23"/>
          <w:szCs w:val="23"/>
          <w:lang w:val="sr-Cyrl-RS"/>
        </w:rPr>
        <w:t>О Б Р А З Л О Ж Е Њ Е</w:t>
      </w:r>
    </w:p>
    <w:p w14:paraId="31756B22" w14:textId="77777777" w:rsidR="007104F0" w:rsidRPr="00E00086" w:rsidRDefault="007104F0" w:rsidP="007104F0">
      <w:pPr>
        <w:tabs>
          <w:tab w:val="left" w:pos="900"/>
        </w:tabs>
        <w:rPr>
          <w:rFonts w:ascii="Times New Roman" w:hAnsi="Times New Roman"/>
          <w:b/>
          <w:sz w:val="23"/>
          <w:szCs w:val="23"/>
          <w:lang w:val="sr-Cyrl-RS"/>
        </w:rPr>
      </w:pPr>
    </w:p>
    <w:p w14:paraId="009BB5FF" w14:textId="77777777" w:rsidR="00A55878" w:rsidRPr="00E00086" w:rsidRDefault="00A55878" w:rsidP="007104F0">
      <w:pPr>
        <w:tabs>
          <w:tab w:val="left" w:pos="900"/>
        </w:tabs>
        <w:rPr>
          <w:rFonts w:ascii="Times New Roman" w:hAnsi="Times New Roman"/>
          <w:b/>
          <w:sz w:val="23"/>
          <w:szCs w:val="23"/>
          <w:highlight w:val="yellow"/>
          <w:lang w:val="sr-Cyrl-RS"/>
        </w:rPr>
      </w:pPr>
    </w:p>
    <w:p w14:paraId="70A1A56A" w14:textId="77777777" w:rsidR="007104F0" w:rsidRPr="00E00086" w:rsidRDefault="006C2F74" w:rsidP="007104F0">
      <w:pPr>
        <w:pStyle w:val="Heading2"/>
        <w:tabs>
          <w:tab w:val="left" w:pos="900"/>
        </w:tabs>
        <w:spacing w:before="0" w:after="0"/>
        <w:jc w:val="both"/>
        <w:rPr>
          <w:rFonts w:ascii="Times New Roman" w:hAnsi="Times New Roman"/>
          <w:sz w:val="24"/>
          <w:szCs w:val="24"/>
          <w:lang w:val="sr-Cyrl-RS"/>
        </w:rPr>
      </w:pPr>
      <w:r w:rsidRPr="00E00086">
        <w:rPr>
          <w:rFonts w:ascii="Times New Roman" w:hAnsi="Times New Roman"/>
          <w:sz w:val="23"/>
          <w:szCs w:val="23"/>
          <w:lang w:val="sr-Cyrl-RS"/>
        </w:rPr>
        <w:tab/>
      </w:r>
      <w:r w:rsidR="007104F0" w:rsidRPr="00E00086">
        <w:rPr>
          <w:rFonts w:ascii="Times New Roman" w:hAnsi="Times New Roman"/>
          <w:sz w:val="24"/>
          <w:szCs w:val="24"/>
          <w:lang w:val="sr-Cyrl-RS"/>
        </w:rPr>
        <w:t>I. УСТАВНИ ОСНОВ</w:t>
      </w:r>
    </w:p>
    <w:p w14:paraId="0453D30A" w14:textId="77777777" w:rsidR="007104F0" w:rsidRPr="00E00086" w:rsidRDefault="007104F0" w:rsidP="007104F0">
      <w:pPr>
        <w:tabs>
          <w:tab w:val="left" w:pos="900"/>
        </w:tabs>
        <w:rPr>
          <w:rFonts w:ascii="Times New Roman" w:hAnsi="Times New Roman"/>
          <w:szCs w:val="24"/>
          <w:lang w:val="sr-Cyrl-RS"/>
        </w:rPr>
      </w:pPr>
    </w:p>
    <w:p w14:paraId="1ED3EB7F" w14:textId="77777777" w:rsidR="007104F0" w:rsidRPr="00E00086" w:rsidRDefault="00821B52" w:rsidP="00821B52">
      <w:pPr>
        <w:tabs>
          <w:tab w:val="left" w:pos="709"/>
        </w:tabs>
        <w:rPr>
          <w:rFonts w:ascii="Times New Roman" w:hAnsi="Times New Roman"/>
          <w:szCs w:val="24"/>
          <w:lang w:val="sr-Cyrl-RS"/>
        </w:rPr>
      </w:pPr>
      <w:r w:rsidRPr="00E00086">
        <w:rPr>
          <w:rFonts w:ascii="Times New Roman" w:hAnsi="Times New Roman"/>
          <w:szCs w:val="24"/>
          <w:lang w:val="sr-Cyrl-RS"/>
        </w:rPr>
        <w:tab/>
      </w:r>
      <w:r w:rsidR="007104F0" w:rsidRPr="00E00086">
        <w:rPr>
          <w:rFonts w:ascii="Times New Roman" w:hAnsi="Times New Roman"/>
          <w:szCs w:val="24"/>
          <w:lang w:val="sr-Cyrl-RS"/>
        </w:rPr>
        <w:t>Уставни основ за доношење овог закона садржан је у члану 92. став 1. и члану 97. тачка 15. Устава Републике Србије, којима је утврђено да Република Србија, аутономне покрајине и јединице локалне самоуправе имају буџете у којима морају бити приказани сви приходи и расходи којима се финансирају њихове надлежности и да Република Србија, између осталог, уређује и обезбеђује финансирање остваривања права и дужности Републике Србије, утврђених Уставом и законом.</w:t>
      </w:r>
    </w:p>
    <w:p w14:paraId="42FE17D7" w14:textId="77777777" w:rsidR="00632A97" w:rsidRPr="00E00086" w:rsidRDefault="00821B52" w:rsidP="00821B52">
      <w:pPr>
        <w:tabs>
          <w:tab w:val="left" w:pos="709"/>
        </w:tabs>
        <w:rPr>
          <w:rFonts w:ascii="Times New Roman" w:hAnsi="Times New Roman"/>
          <w:szCs w:val="24"/>
          <w:lang w:val="sr-Cyrl-RS"/>
        </w:rPr>
      </w:pPr>
      <w:r w:rsidRPr="00E00086">
        <w:rPr>
          <w:rFonts w:ascii="Times New Roman" w:hAnsi="Times New Roman"/>
          <w:szCs w:val="24"/>
          <w:lang w:val="sr-Cyrl-RS"/>
        </w:rPr>
        <w:tab/>
      </w:r>
      <w:r w:rsidR="007104F0" w:rsidRPr="00E00086">
        <w:rPr>
          <w:rFonts w:ascii="Times New Roman" w:hAnsi="Times New Roman"/>
          <w:szCs w:val="24"/>
          <w:lang w:val="sr-Cyrl-RS"/>
        </w:rPr>
        <w:t>Чланом 99. став 1. тачка 11. Устава Републике Србије утврђено је да Народна скупштина усваја буџет Репу</w:t>
      </w:r>
      <w:r w:rsidR="000008C6" w:rsidRPr="00E00086">
        <w:rPr>
          <w:rFonts w:ascii="Times New Roman" w:hAnsi="Times New Roman"/>
          <w:szCs w:val="24"/>
          <w:lang w:val="sr-Cyrl-RS"/>
        </w:rPr>
        <w:t>блике Србије, на предлог Владе.</w:t>
      </w:r>
    </w:p>
    <w:p w14:paraId="28E56F7E" w14:textId="77777777" w:rsidR="00A45AD2" w:rsidRPr="00E00086" w:rsidRDefault="00A45AD2" w:rsidP="00821B52">
      <w:pPr>
        <w:tabs>
          <w:tab w:val="left" w:pos="709"/>
        </w:tabs>
        <w:rPr>
          <w:rFonts w:ascii="Times New Roman" w:hAnsi="Times New Roman"/>
          <w:szCs w:val="24"/>
          <w:highlight w:val="yellow"/>
          <w:lang w:val="sr-Cyrl-RS"/>
        </w:rPr>
      </w:pPr>
    </w:p>
    <w:p w14:paraId="4462885D" w14:textId="77777777" w:rsidR="0079641B" w:rsidRPr="00E00086" w:rsidRDefault="008C16FD" w:rsidP="0079641B">
      <w:pPr>
        <w:tabs>
          <w:tab w:val="left" w:pos="720"/>
        </w:tabs>
        <w:spacing w:after="120"/>
        <w:rPr>
          <w:rFonts w:ascii="Times New Roman" w:hAnsi="Times New Roman"/>
          <w:b/>
          <w:lang w:val="sr-Cyrl-RS"/>
        </w:rPr>
      </w:pPr>
      <w:r w:rsidRPr="00E00086">
        <w:rPr>
          <w:rFonts w:ascii="Times New Roman" w:hAnsi="Times New Roman"/>
          <w:b/>
          <w:szCs w:val="24"/>
          <w:lang w:val="sr-Cyrl-RS"/>
        </w:rPr>
        <w:tab/>
      </w:r>
      <w:r w:rsidR="0079641B" w:rsidRPr="00E00086">
        <w:rPr>
          <w:rFonts w:ascii="Times New Roman" w:hAnsi="Times New Roman"/>
          <w:b/>
          <w:lang w:val="sr-Cyrl-RS"/>
        </w:rPr>
        <w:t>II. МАКРОЕКОНОМСКЕ ПРЕТПОСТАВКЕ БУЏЕТА РЕПУБЛИКЕ СРБИЈЕ ЗА 2025. ГОДИНУ</w:t>
      </w:r>
    </w:p>
    <w:p w14:paraId="1316306E" w14:textId="77777777" w:rsidR="0079641B" w:rsidRPr="00E00086" w:rsidRDefault="0079641B" w:rsidP="0079641B">
      <w:pPr>
        <w:pStyle w:val="Heading3"/>
        <w:numPr>
          <w:ilvl w:val="0"/>
          <w:numId w:val="7"/>
        </w:numPr>
        <w:tabs>
          <w:tab w:val="left" w:pos="1440"/>
        </w:tabs>
        <w:rPr>
          <w:rFonts w:ascii="Times New Roman" w:hAnsi="Times New Roman"/>
          <w:lang w:val="sr-Cyrl-RS"/>
        </w:rPr>
      </w:pPr>
      <w:r w:rsidRPr="00E00086">
        <w:rPr>
          <w:rFonts w:ascii="Times New Roman" w:hAnsi="Times New Roman"/>
          <w:lang w:val="sr-Cyrl-RS"/>
        </w:rPr>
        <w:t xml:space="preserve">Текућа </w:t>
      </w:r>
      <w:r w:rsidRPr="00E00086">
        <w:rPr>
          <w:rFonts w:ascii="Times New Roman" w:hAnsi="Times New Roman"/>
          <w:sz w:val="24"/>
          <w:szCs w:val="24"/>
          <w:lang w:val="sr-Cyrl-RS"/>
        </w:rPr>
        <w:t>макроекономска</w:t>
      </w:r>
      <w:r w:rsidRPr="00E00086">
        <w:rPr>
          <w:rFonts w:ascii="Times New Roman" w:hAnsi="Times New Roman"/>
          <w:lang w:val="sr-Cyrl-RS"/>
        </w:rPr>
        <w:t xml:space="preserve"> кретања</w:t>
      </w:r>
    </w:p>
    <w:p w14:paraId="554C9ADD" w14:textId="3C8FA47C" w:rsidR="0079641B" w:rsidRPr="00E00086" w:rsidRDefault="0079641B" w:rsidP="0079641B">
      <w:pPr>
        <w:tabs>
          <w:tab w:val="left" w:pos="720"/>
          <w:tab w:val="left" w:pos="1440"/>
        </w:tabs>
        <w:spacing w:before="120" w:after="120"/>
        <w:ind w:firstLine="720"/>
        <w:rPr>
          <w:rFonts w:ascii="Times New Roman" w:hAnsi="Times New Roman"/>
          <w:szCs w:val="24"/>
          <w:lang w:val="sr-Cyrl-RS"/>
        </w:rPr>
      </w:pPr>
      <w:r w:rsidRPr="00E00086">
        <w:rPr>
          <w:rFonts w:ascii="Times New Roman" w:hAnsi="Times New Roman"/>
          <w:szCs w:val="24"/>
          <w:lang w:val="sr-Cyrl-RS"/>
        </w:rPr>
        <w:t>Координиране мере фискалне и монетарне политике захваљујући којима је у претходном периоду очувана макроекономска стабилност и креиране резерве за случај шокова, заједно са широко распрострањеним страним директним инвестицијама и убрзаном изградњом инфраструктуре, омогућили су привреди да успешно амортизује ефекте вишедимензионалне кризе која траје већ четири године. Србија је током претходног периода успела да сачува стабилност своје економије и поверење потрошача и инвеститора, о чему сведочи и позитивна оцена ММФ током разговора приликом четвртог разматрања резултата спровођења договореног економског програма у оквиру стендбај аранжмана. Повољни макроекономски изгледи земље и повећана отпорности на спољне шокове препознати су и од стране кредитне агенције Standard and Poor’s која је у октобру повећала кредитни рејтинг Србије на на ниво „БББ-</w:t>
      </w:r>
      <w:r w:rsidR="005257C9">
        <w:rPr>
          <w:rFonts w:ascii="Times New Roman" w:hAnsi="Times New Roman"/>
          <w:szCs w:val="24"/>
          <w:lang w:val="sr-Cyrl-RS"/>
        </w:rPr>
        <w:t>ˮ</w:t>
      </w:r>
      <w:r w:rsidRPr="00E00086">
        <w:rPr>
          <w:rFonts w:ascii="Times New Roman" w:hAnsi="Times New Roman"/>
          <w:szCs w:val="24"/>
          <w:lang w:val="sr-Cyrl-RS"/>
        </w:rPr>
        <w:t xml:space="preserve">, чиме је Србија по први пут у својој историји сврстана међу земље с кредитним рејтингом инвестиционог ранга. </w:t>
      </w:r>
    </w:p>
    <w:p w14:paraId="76DE053F" w14:textId="77777777" w:rsidR="0079641B" w:rsidRPr="00E00086" w:rsidRDefault="0079641B" w:rsidP="0079641B">
      <w:pPr>
        <w:tabs>
          <w:tab w:val="left" w:pos="720"/>
          <w:tab w:val="left" w:pos="1440"/>
        </w:tabs>
        <w:spacing w:before="120" w:after="120"/>
        <w:ind w:firstLine="720"/>
        <w:rPr>
          <w:rFonts w:ascii="Times New Roman" w:hAnsi="Times New Roman"/>
          <w:szCs w:val="24"/>
          <w:lang w:val="sr-Cyrl-RS"/>
        </w:rPr>
      </w:pPr>
      <w:r w:rsidRPr="00E00086">
        <w:rPr>
          <w:rFonts w:ascii="Times New Roman" w:hAnsi="Times New Roman"/>
          <w:szCs w:val="24"/>
          <w:lang w:val="sr-Cyrl-RS"/>
        </w:rPr>
        <w:t xml:space="preserve">Макроекономска кретања током 2024. године генерално су на нивоу пројектованих. Према подацима РЗС, раст БДП у првом кварталу 2024. године износио је 4,6% мг., док је у другом тромесечју раст привреде био 4,0% мг., што је у складу са претходним очекивањима Министарства финансија за овај период. Посматрано са производне стране, раст БДП у првој половини 2024. године од 4,3% био је вођен услужним сектором, који је остварио раст од 5,0%. Повећање економске активности забележено је код свих услужних делатности, а најзначајнији допринос дошао је од трговине, саобраћаја и туризма, као и од ИКТ и стручно-техничких услуга. Упркос и даље слабој спољној тражњи и ремонту капацитета у НИС, индустријска производња је забележила раст БДВ од 2,1% у првој половини године, захваљујући пре свега активирању нових производних капацитета као резултат ефектуирања СДИ из претходног периода. Грађевинарство је било веће за 9,9% услед наставка реализације инфраструктурних пројеката, као и раста приватних инвестиција, док је пољопривреда према првим проценама РЗС забележила пад од око 4% услед неповољних агрометеоролошких услова. Посматрано по агрегатима употребе, раст БДП у првој половини 2024. године у потпуности је био опредељен домаћом тражњом. Повећање реалног расположивог дохотка становништва, пре свега као резултат раста зарада и пензија уз раст запослености, одразио се на убрзање приватне потрошње која је била већа за 4,6%. Истовремено, инвестиције у основне фондове оствариле су раст од 8,0% захваљујући пре свега већим грађевинским радовима, али и убрзању приватних инвестиција. Допринос нето извоза био је негативан услед бржег раста увозне активности </w:t>
      </w:r>
      <w:r w:rsidRPr="00E00086">
        <w:rPr>
          <w:rFonts w:ascii="Times New Roman" w:hAnsi="Times New Roman"/>
          <w:szCs w:val="24"/>
          <w:lang w:val="sr-Cyrl-RS"/>
        </w:rPr>
        <w:lastRenderedPageBreak/>
        <w:t>(6,0%) од извозне (2,9%) као последица повећаног увоза опреме за инвестиционе потребе, као и потрошне робе услед раста приватне потрошње домаћинстава.</w:t>
      </w:r>
    </w:p>
    <w:p w14:paraId="3E7C307B" w14:textId="77777777" w:rsidR="0079641B" w:rsidRPr="00E00086" w:rsidRDefault="0079641B" w:rsidP="0079641B">
      <w:pPr>
        <w:tabs>
          <w:tab w:val="left" w:pos="720"/>
          <w:tab w:val="left" w:pos="1440"/>
        </w:tabs>
        <w:spacing w:before="120" w:after="120"/>
        <w:ind w:firstLine="720"/>
        <w:rPr>
          <w:rFonts w:ascii="Times New Roman" w:hAnsi="Times New Roman"/>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97"/>
      </w:tblGrid>
      <w:tr w:rsidR="0079641B" w:rsidRPr="00E00086" w14:paraId="43B09D49" w14:textId="77777777" w:rsidTr="00B85411">
        <w:tc>
          <w:tcPr>
            <w:tcW w:w="4686" w:type="dxa"/>
          </w:tcPr>
          <w:p w14:paraId="3D5CBC6B" w14:textId="77777777" w:rsidR="0079641B" w:rsidRPr="00E00086" w:rsidRDefault="0079641B" w:rsidP="00B85411">
            <w:pPr>
              <w:tabs>
                <w:tab w:val="left" w:pos="720"/>
                <w:tab w:val="left" w:pos="1440"/>
              </w:tabs>
              <w:spacing w:before="120" w:after="120"/>
              <w:jc w:val="center"/>
              <w:rPr>
                <w:rFonts w:ascii="Times New Roman" w:hAnsi="Times New Roman"/>
                <w:b/>
                <w:szCs w:val="24"/>
                <w:lang w:val="sr-Cyrl-RS"/>
              </w:rPr>
            </w:pPr>
            <w:r w:rsidRPr="00E00086">
              <w:rPr>
                <w:rFonts w:ascii="Times New Roman" w:hAnsi="Times New Roman"/>
                <w:b/>
                <w:szCs w:val="24"/>
                <w:lang w:val="sr-Cyrl-RS"/>
              </w:rPr>
              <w:t>Доприноси стопи реалног раста БДП, производни приступ, п.п.</w:t>
            </w:r>
          </w:p>
          <w:p w14:paraId="29B537A1" w14:textId="77777777" w:rsidR="0079641B" w:rsidRPr="00E00086" w:rsidRDefault="0079641B" w:rsidP="00B85411">
            <w:pPr>
              <w:tabs>
                <w:tab w:val="left" w:pos="420"/>
                <w:tab w:val="left" w:pos="720"/>
                <w:tab w:val="left" w:pos="1440"/>
              </w:tabs>
              <w:spacing w:before="120" w:after="120"/>
              <w:rPr>
                <w:rFonts w:ascii="Times New Roman" w:hAnsi="Times New Roman"/>
                <w:szCs w:val="24"/>
                <w:lang w:val="sr-Cyrl-RS"/>
              </w:rPr>
            </w:pPr>
            <w:r w:rsidRPr="00E00086">
              <w:rPr>
                <w:rFonts w:ascii="Times New Roman" w:hAnsi="Times New Roman"/>
                <w:szCs w:val="24"/>
                <w:lang w:val="sr-Cyrl-RS"/>
              </w:rPr>
              <w:tab/>
            </w:r>
            <w:r w:rsidRPr="00E00086">
              <w:rPr>
                <w:rFonts w:ascii="Times New Roman" w:hAnsi="Times New Roman"/>
                <w:noProof/>
                <w:szCs w:val="24"/>
                <w:lang w:val="sr-Cyrl-RS"/>
              </w:rPr>
              <w:drawing>
                <wp:inline distT="0" distB="0" distL="0" distR="0" wp14:anchorId="6E530B16" wp14:editId="02DD4488">
                  <wp:extent cx="2538730" cy="18946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97" cy="1934464"/>
                          </a:xfrm>
                          <a:prstGeom prst="rect">
                            <a:avLst/>
                          </a:prstGeom>
                          <a:noFill/>
                        </pic:spPr>
                      </pic:pic>
                    </a:graphicData>
                  </a:graphic>
                </wp:inline>
              </w:drawing>
            </w:r>
            <w:r w:rsidRPr="00E00086">
              <w:rPr>
                <w:rFonts w:ascii="Times New Roman" w:hAnsi="Times New Roman"/>
                <w:szCs w:val="24"/>
                <w:lang w:val="sr-Cyrl-RS"/>
              </w:rPr>
              <w:tab/>
            </w:r>
          </w:p>
        </w:tc>
        <w:tc>
          <w:tcPr>
            <w:tcW w:w="4674" w:type="dxa"/>
          </w:tcPr>
          <w:p w14:paraId="2823DE67" w14:textId="77777777" w:rsidR="0079641B" w:rsidRPr="00E00086" w:rsidRDefault="0079641B" w:rsidP="00B85411">
            <w:pPr>
              <w:tabs>
                <w:tab w:val="left" w:pos="720"/>
                <w:tab w:val="left" w:pos="1440"/>
              </w:tabs>
              <w:spacing w:before="120" w:after="120"/>
              <w:jc w:val="center"/>
              <w:rPr>
                <w:rFonts w:ascii="Times New Roman" w:hAnsi="Times New Roman"/>
                <w:b/>
                <w:szCs w:val="24"/>
                <w:lang w:val="sr-Cyrl-RS"/>
              </w:rPr>
            </w:pPr>
            <w:r w:rsidRPr="00E00086">
              <w:rPr>
                <w:rFonts w:ascii="Times New Roman" w:hAnsi="Times New Roman"/>
                <w:b/>
                <w:szCs w:val="24"/>
                <w:lang w:val="sr-Cyrl-RS"/>
              </w:rPr>
              <w:t>Доприноси стопи реалног раста БДП, расходни приступ, п.п.</w:t>
            </w:r>
          </w:p>
          <w:p w14:paraId="0317D0C4" w14:textId="77777777" w:rsidR="0079641B" w:rsidRPr="00E00086" w:rsidRDefault="0079641B" w:rsidP="00B85411">
            <w:pPr>
              <w:tabs>
                <w:tab w:val="left" w:pos="720"/>
                <w:tab w:val="left" w:pos="1440"/>
              </w:tabs>
              <w:spacing w:before="120" w:after="120"/>
              <w:jc w:val="center"/>
              <w:rPr>
                <w:rFonts w:ascii="Times New Roman" w:hAnsi="Times New Roman"/>
                <w:szCs w:val="24"/>
                <w:lang w:val="sr-Cyrl-RS"/>
              </w:rPr>
            </w:pPr>
            <w:r w:rsidRPr="00E00086">
              <w:rPr>
                <w:rFonts w:ascii="Times New Roman" w:hAnsi="Times New Roman"/>
                <w:noProof/>
                <w:szCs w:val="24"/>
                <w:lang w:val="sr-Cyrl-RS"/>
              </w:rPr>
              <w:drawing>
                <wp:inline distT="0" distB="0" distL="0" distR="0" wp14:anchorId="7D9ABA7E" wp14:editId="33F1709B">
                  <wp:extent cx="2621280" cy="1901952"/>
                  <wp:effectExtent l="0" t="0" r="762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5918" cy="1905317"/>
                          </a:xfrm>
                          <a:prstGeom prst="rect">
                            <a:avLst/>
                          </a:prstGeom>
                          <a:noFill/>
                        </pic:spPr>
                      </pic:pic>
                    </a:graphicData>
                  </a:graphic>
                </wp:inline>
              </w:drawing>
            </w:r>
          </w:p>
        </w:tc>
      </w:tr>
    </w:tbl>
    <w:p w14:paraId="698EC832" w14:textId="77777777" w:rsidR="0079641B" w:rsidRPr="00E00086" w:rsidRDefault="0079641B" w:rsidP="0079641B">
      <w:pPr>
        <w:tabs>
          <w:tab w:val="left" w:pos="720"/>
          <w:tab w:val="left" w:pos="1440"/>
        </w:tabs>
        <w:spacing w:before="120" w:after="120"/>
        <w:ind w:firstLine="720"/>
        <w:rPr>
          <w:rFonts w:ascii="Times New Roman" w:hAnsi="Times New Roman"/>
          <w:szCs w:val="24"/>
          <w:lang w:val="sr-Cyrl-RS"/>
        </w:rPr>
      </w:pPr>
      <w:r w:rsidRPr="00E00086">
        <w:rPr>
          <w:rFonts w:ascii="Times New Roman" w:hAnsi="Times New Roman"/>
          <w:szCs w:val="24"/>
          <w:lang w:val="sr-Cyrl-RS"/>
        </w:rPr>
        <w:t>Високофреквентни индикатори такође указују на стабилна привредна кретања током 2024. године.</w:t>
      </w:r>
    </w:p>
    <w:p w14:paraId="25A30C5E" w14:textId="77777777" w:rsidR="0079641B" w:rsidRPr="00E00086" w:rsidRDefault="0079641B" w:rsidP="0079641B">
      <w:pPr>
        <w:tabs>
          <w:tab w:val="left" w:pos="720"/>
          <w:tab w:val="left" w:pos="1440"/>
        </w:tabs>
        <w:spacing w:before="120" w:after="120"/>
        <w:ind w:firstLine="720"/>
        <w:rPr>
          <w:rFonts w:ascii="Times New Roman" w:hAnsi="Times New Roman"/>
          <w:szCs w:val="24"/>
          <w:lang w:val="sr-Cyrl-RS"/>
        </w:rPr>
      </w:pPr>
      <w:r w:rsidRPr="00E00086">
        <w:rPr>
          <w:rFonts w:ascii="Times New Roman" w:hAnsi="Times New Roman"/>
          <w:szCs w:val="24"/>
          <w:lang w:val="sr-Cyrl-RS"/>
        </w:rPr>
        <w:t>У првих осам месеци 2024. године индустријска производњa je забележила повећање физичког обима од 2,6% мг. У овом периоду, раст је вођен већим обимом производње прерађивачке индустрије, док је утицај енергетског сектора био негативан услед мање производње електричне енергије. Прерађивачка индустрија је у првих осам месеци остварила повећање од 4,1%. Раст је био диверсификован и остварен у 15 од 24 делатности. Најзначајнији позитиван допринос расту прерађивачке индустрије у овом периоду потиче од производње основних метала и електронске индустрије које су забележиле повећање од 38,6% и 77,7% мг. респективно. У претходних осам месеци, прозводња прехрамбених производа, као једне од најзначајнијих делатности прерађивачке индустрије, забележила је раст од 6,5% мг. Након пада производње металних производа у претходној години од 9,6%, активност ове делатности се опоравила током 2024. године, забележивши раст од 10,4% у првих осам месеци. Упркос и даље слабој спољној тражњи, аутомобилска индустрија бележи раст од 6,4%, а производња електричне опреме и гумарска индустрија остварују повећање физичког обима од 6,5% и 9,9%, респективно, захваљујући пре свега ефектуирању СДИ из претходног периода. С друге стране, делатности које су оствариле пад производње збирно су имале негативан утицај на кретање прерађивачке индустрије од 1,9 п.п. Најзначајнији негативан допринос у првих осам месеци 2024. године потекао је од нафтне индустрије са смањењем производње од 18,2% мг., као последица планског ремонта у прерађивачком комплексу НИС током априла и маја када је производња нафтних деривата била готово потпуно обустављена. У истом периоду, обим производње машинске и фармацеутске индустрије је био нижи за 8,0% и 4,3% мг. респективно. Производњу енергетског сектора у првих осам месеци 2024. године карактеришу дивергентна кретања. У рударству је забележен раст од 7,8% пре свега као резултат веће експлоатације руде метала за 18,0%, док је најзначајнији негативан допринос потекао од експлоатације угља која је била мања за 3,9%. Истовремено, обим производње електричне енергије био је мањи за 7,2% пре свега услед лоше хидролошке ситуације, као и ремонта производних капацитета ЕПС током летњих месеци.</w:t>
      </w:r>
    </w:p>
    <w:p w14:paraId="7B1E42B1" w14:textId="77777777" w:rsidR="0079641B" w:rsidRPr="00E00086" w:rsidRDefault="0079641B" w:rsidP="0079641B">
      <w:pPr>
        <w:tabs>
          <w:tab w:val="left" w:pos="720"/>
          <w:tab w:val="left" w:pos="1440"/>
        </w:tabs>
        <w:spacing w:before="120" w:after="120"/>
        <w:ind w:firstLine="720"/>
        <w:rPr>
          <w:rFonts w:ascii="Times New Roman" w:hAnsi="Times New Roman"/>
          <w:szCs w:val="24"/>
          <w:lang w:val="sr-Cyrl-RS"/>
        </w:rPr>
      </w:pPr>
      <w:r w:rsidRPr="00E00086">
        <w:rPr>
          <w:rFonts w:ascii="Times New Roman" w:hAnsi="Times New Roman"/>
          <w:szCs w:val="24"/>
          <w:lang w:val="sr-Cyrl-RS"/>
        </w:rPr>
        <w:t>Наставак позитивних кретања забележен је и у грађевинарству. У првој половини 2024. године вредност изведених грађевинских радова била је реално већа за 13,3% мг., подржана растом вредности изведених радова у нискоградњи од 19,0% мг. и високоградњи од 2,6% мг.</w:t>
      </w:r>
    </w:p>
    <w:p w14:paraId="52F18A9E" w14:textId="77777777" w:rsidR="0079641B" w:rsidRPr="00E00086" w:rsidRDefault="0079641B" w:rsidP="0079641B">
      <w:pPr>
        <w:tabs>
          <w:tab w:val="left" w:pos="720"/>
          <w:tab w:val="left" w:pos="1440"/>
        </w:tabs>
        <w:spacing w:before="120" w:after="120"/>
        <w:ind w:firstLine="720"/>
        <w:rPr>
          <w:rFonts w:ascii="Times New Roman" w:hAnsi="Times New Roman"/>
          <w:szCs w:val="24"/>
          <w:lang w:val="sr-Cyrl-RS"/>
        </w:rPr>
      </w:pPr>
      <w:r w:rsidRPr="00E00086">
        <w:rPr>
          <w:rFonts w:ascii="Times New Roman" w:hAnsi="Times New Roman"/>
          <w:szCs w:val="24"/>
          <w:lang w:val="sr-Cyrl-RS"/>
        </w:rPr>
        <w:lastRenderedPageBreak/>
        <w:t>Са успоравањем инфлације и растом реалног расположивог дохотка становништва од средине претходне године дошло је до убрзања активности реалног промета у трговини на мало. Такви трендови настављени су и током 2024. године, при чему је раст промета у сталним ценама у првих осам месеци био већи за 7,1%. У овом периоду, повећање промета у трговини на мало праћено је растом промета све три категорије производа (прехрамбених производа за 7,5% мг., непрехрамбених производа за 8,9% мг. и моторних горива за 3,1% мг., реално). Настављена су добра кретања у туризму и угоститељству, при чему је у првих осам месеци број долазака и ноћења туриста међугодишње увећан за 7,3% и 3,4%, респективно, праћен растом активности страних туриста</w:t>
      </w:r>
      <w:r w:rsidRPr="00E00086">
        <w:rPr>
          <w:lang w:val="sr-Cyrl-RS"/>
        </w:rPr>
        <w:t xml:space="preserve"> </w:t>
      </w:r>
      <w:r w:rsidRPr="00E00086">
        <w:rPr>
          <w:rFonts w:ascii="Times New Roman" w:hAnsi="Times New Roman"/>
          <w:szCs w:val="24"/>
          <w:lang w:val="sr-Cyrl-RS"/>
        </w:rPr>
        <w:t>У првих осам месеци, девизни прилив од туризма је међугодишње увећан за 13,0%. Поред тога, настављен је раст промета у угоститељству, при чему је у првих седам месеци реално већи за 10,3% мг.</w:t>
      </w:r>
    </w:p>
    <w:p w14:paraId="175FB53B" w14:textId="77777777" w:rsidR="0079641B" w:rsidRPr="00E00086" w:rsidRDefault="0079641B" w:rsidP="0079641B">
      <w:pPr>
        <w:tabs>
          <w:tab w:val="left" w:pos="720"/>
          <w:tab w:val="left" w:pos="1440"/>
        </w:tabs>
        <w:spacing w:before="120" w:after="120"/>
        <w:ind w:firstLine="720"/>
        <w:rPr>
          <w:rFonts w:ascii="Times New Roman" w:hAnsi="Times New Roman"/>
          <w:szCs w:val="24"/>
          <w:lang w:val="sr-Cyrl-RS"/>
        </w:rPr>
      </w:pPr>
      <w:r w:rsidRPr="00E00086">
        <w:rPr>
          <w:rFonts w:ascii="Times New Roman" w:hAnsi="Times New Roman"/>
          <w:szCs w:val="24"/>
          <w:lang w:val="sr-Cyrl-RS"/>
        </w:rPr>
        <w:t>Полазећи од текућих трендова у погледу кретања привредне активности и динамике високофреквентних индикатора, узимајући у обзир донете мере економске политике, ефекте наставка реализације инфраструктурних пројеката додатно подржаних новим инвестиционим циклусом у оквиру програма „Скок у будућност – Србија 2027”, уз уважавање економских изгледа најважнијих спољнотрговинских партнера, Министарство финансија очекује раст БДП у 2024. години од 3,8% уз симетричну матрицу ризика остварења пројекције.</w:t>
      </w:r>
    </w:p>
    <w:p w14:paraId="4DB84624" w14:textId="77777777" w:rsidR="0079641B" w:rsidRPr="00E00086" w:rsidRDefault="0079641B" w:rsidP="0079641B">
      <w:pPr>
        <w:tabs>
          <w:tab w:val="left" w:pos="720"/>
          <w:tab w:val="left" w:pos="1440"/>
        </w:tabs>
        <w:jc w:val="center"/>
        <w:rPr>
          <w:rFonts w:ascii="Times New Roman" w:eastAsia="Calibri" w:hAnsi="Times New Roman"/>
          <w:b/>
          <w:spacing w:val="-4"/>
          <w:lang w:val="sr-Cyrl-RS"/>
        </w:rPr>
      </w:pPr>
      <w:r w:rsidRPr="00E00086">
        <w:rPr>
          <w:rFonts w:ascii="Times New Roman" w:eastAsia="Calibri" w:hAnsi="Times New Roman"/>
          <w:b/>
          <w:spacing w:val="-4"/>
          <w:lang w:val="sr-Cyrl-RS"/>
        </w:rPr>
        <w:t>Пројекција динамике кварталног БДП (%, мг) потребна за достизање годишње процене привредног раста од 3,8% у 2024. години</w:t>
      </w:r>
    </w:p>
    <w:p w14:paraId="3167A547" w14:textId="77777777" w:rsidR="0079641B" w:rsidRPr="00E00086" w:rsidRDefault="0079641B" w:rsidP="0079641B">
      <w:pPr>
        <w:tabs>
          <w:tab w:val="left" w:pos="720"/>
          <w:tab w:val="left" w:pos="1440"/>
        </w:tabs>
        <w:spacing w:before="120" w:after="120"/>
        <w:ind w:firstLine="720"/>
        <w:rPr>
          <w:rFonts w:ascii="Times New Roman" w:hAnsi="Times New Roman"/>
          <w:szCs w:val="24"/>
          <w:lang w:val="sr-Cyrl-RS"/>
        </w:rPr>
      </w:pPr>
      <w:r w:rsidRPr="00E00086">
        <w:rPr>
          <w:noProof/>
          <w:lang w:val="sr-Cyrl-RS"/>
        </w:rPr>
        <w:drawing>
          <wp:inline distT="0" distB="0" distL="0" distR="0" wp14:anchorId="5079CC64" wp14:editId="6BA2E940">
            <wp:extent cx="4715123" cy="2178657"/>
            <wp:effectExtent l="0" t="0" r="0" b="0"/>
            <wp:docPr id="1"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3C523B" w14:textId="77777777" w:rsidR="0079641B" w:rsidRPr="00E00086" w:rsidRDefault="0079641B" w:rsidP="0079641B">
      <w:pPr>
        <w:tabs>
          <w:tab w:val="left" w:pos="720"/>
          <w:tab w:val="left" w:pos="1440"/>
        </w:tabs>
        <w:spacing w:before="120" w:after="120"/>
        <w:ind w:firstLine="720"/>
        <w:rPr>
          <w:rFonts w:ascii="Times New Roman" w:hAnsi="Times New Roman"/>
          <w:bCs/>
          <w:iCs/>
          <w:szCs w:val="24"/>
          <w:highlight w:val="lightGray"/>
          <w:lang w:val="sr-Cyrl-RS"/>
        </w:rPr>
      </w:pPr>
      <w:r w:rsidRPr="00E00086">
        <w:rPr>
          <w:rFonts w:ascii="Times New Roman" w:hAnsi="Times New Roman"/>
          <w:bCs/>
          <w:iCs/>
          <w:szCs w:val="24"/>
          <w:lang w:val="sr-Cyrl-RS"/>
        </w:rPr>
        <w:t xml:space="preserve">Укупан обим спољнотрговинске робне размене у првих осам месеци 2024. године износио је 44,9 млрд евра и повећан је за 3,5%, уз истовремени раст и извозне и увозне активности. Током првих осам месеци текуће године, извезено је робе у укупној вредности од 19,4 млрд евра, што представља повећање у односу на исти период у претходне године од 1,5%. Упркос и даље слабој спољној тражњи, наставак добрих извозних резултата прерађивачке индустрије резултат је пре свега активирања нових извозно оријентисаних капацитета услед високог прилива СДИ из претходног периода, које су у значајном обиму биле усмерене у разменљиве секторе. Извоз прерађивачке индустрије, која је и главни генератор раста извоза, већи је за 559,5 млрд евра или 3,4% у односу на првих осам месеци 2023. године уз диверсификован раст који је остварен у 12 од 23 области. Расту извоза прерађивачке индустрије највише је допринео раст извоза основних метала, осталих саобраћајних средстава, затим електронске, металске и прехрамбене индустрије. Поред прерађивачке индустрије, значајан допринос расту извоза долази и од извоза пољопривреде која је, упркос забележеном паду цена пољопривредних производа на светском тржишту, остварила раст од 46,4%, услед добре пољопривредне сезоне у претходној години и базног ефекта. Истовремено, извоз рударства забележио је раст од 3,0%, док је са друге стране негативан допринос расту извоза потекао је од пада извоза електричне енергије који је у овом периоду био на нивоу од око 2/5 извоза из истог периода претходне године (смањење од 573,4 мил. евра). У првих осам месеци 2023. године, увоз </w:t>
      </w:r>
      <w:r w:rsidRPr="00E00086">
        <w:rPr>
          <w:rFonts w:ascii="Times New Roman" w:hAnsi="Times New Roman"/>
          <w:bCs/>
          <w:iCs/>
          <w:szCs w:val="24"/>
          <w:lang w:val="sr-Cyrl-RS"/>
        </w:rPr>
        <w:lastRenderedPageBreak/>
        <w:t>робе повећан је за 5,1% у односу на исти период претходне године и износио је 25,5 милијарде евра. Посматрано према економској намени, расту робног увоза највише је допринео раст увоза опреме који је забележио повећање од 17,1% (прираст од 485,9 мил. евра). Високи раст увоза опреме омогућиће даљу модернизацију производних капацитета привреде и раста продуктивности, што ће довести до повећања конкурентности на међународном тржишту и побољшања извозних перформанси. Истовремено, позитиван дорпинос расту увоза дао је увоз потрошне робе и репроматеријала са оствареним растом од 8,9% и 0,5%, респективно (прираст од 419,4 и 63,0 мил. евра). Оваква кретања у спољнотрговинској размени имала су за резултат повећање спољнотрговинског дефицита који је износио 6,1 млрд евра у посматраном периоду, и већи је за 939,0 мил. евра у односу на исти период претходне године. Истовремено, смањена је покривеност увоза извозом која износи 76,2% у текућој, у односу на 78,8% у истом периоду у претходној години.</w:t>
      </w:r>
    </w:p>
    <w:p w14:paraId="552B9F89" w14:textId="77777777" w:rsidR="0079641B" w:rsidRPr="00E00086" w:rsidRDefault="0079641B" w:rsidP="0079641B">
      <w:pPr>
        <w:tabs>
          <w:tab w:val="left" w:pos="720"/>
          <w:tab w:val="left" w:pos="1440"/>
        </w:tabs>
        <w:spacing w:before="120" w:after="120"/>
        <w:ind w:firstLine="720"/>
        <w:rPr>
          <w:rFonts w:ascii="Times New Roman" w:hAnsi="Times New Roman"/>
          <w:bCs/>
          <w:iCs/>
          <w:szCs w:val="24"/>
          <w:lang w:val="sr-Cyrl-RS"/>
        </w:rPr>
      </w:pPr>
      <w:r w:rsidRPr="00E00086">
        <w:rPr>
          <w:rFonts w:ascii="Times New Roman" w:hAnsi="Times New Roman"/>
          <w:bCs/>
          <w:iCs/>
          <w:szCs w:val="24"/>
          <w:lang w:val="sr-Cyrl-RS"/>
        </w:rPr>
        <w:t>Дефицит текућег рачуна у првих осам месеци 2024. године износио је 2,5 млрд евра, и био је виши за 1,8 млрд евра у односу на исти период претходне године. На рачуну роба и услуга дефицит је износио 3,3 млрд евра и међугодишње је већи је за 1,1 млрд евра, највећим делом услед раста дефицита робне размене, док је истовремено суфицит у услугама смањен. Робни дефицит је износио 4,9 млрд евра, што је повећање од 814,5 милиона евра, док је на рачуну услуга забележен суфицит који је износио 1,6 млрд евра и био нижи за 329,3 милиона евра. Повећању робног дефицита у првих осам месеци 2024. године највише је допринело смањење суфицита у размени електричне енергије, пре свега због велике базе из истог периода претходне године. Позитиван нето извоз услуга у највећој мери резултат је већег извоза ИКТ у посматраном периоду. Нето прилив по основу ИКТ услуга повећан је за 20,5% међугодишње и износио је 2,0 милијарди евра. Нето прилив СДИ у првих осам месеци 2024. године износио је 2,9 млрд евра, док је укупан прилив по основу СДИ износио 3,2 млрд евра. Посматрано према делатностима, највећи прилив СДИ у првој половини текуће године је остварен у грађевинарству (670,5 мил. евра), рударству (582,9 мил. евра), затим у ИТ сектору (338,7 мил. евра), али и у прерађивачкој индустрији, сектору који традиционално привлачи највише СДИ, са остварених 274,6 мил. евра.</w:t>
      </w:r>
      <w:r w:rsidRPr="00E00086">
        <w:rPr>
          <w:lang w:val="sr-Cyrl-RS"/>
        </w:rPr>
        <w:t xml:space="preserve"> </w:t>
      </w:r>
      <w:r w:rsidRPr="00E00086">
        <w:rPr>
          <w:rFonts w:ascii="Times New Roman" w:hAnsi="Times New Roman"/>
          <w:bCs/>
          <w:iCs/>
          <w:szCs w:val="24"/>
          <w:lang w:val="sr-Cyrl-RS"/>
        </w:rPr>
        <w:t>Очекујемо да ће се у 2024. години дефицит текућег рачуна повећати на 4,4% БДП као резултат већег увоза услед интензивирање инвестиционе активности и раста увоза опреме и репроматеријала за потребе привреде, али и као последица раста приватне потрошње. Очекује се стабилан прилив страних директних инвестиција које ће бити главни извор финансирања дефицита текућег рачуна и у 2024. години.</w:t>
      </w:r>
    </w:p>
    <w:p w14:paraId="05943F96"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iCs/>
          <w:szCs w:val="24"/>
          <w:lang w:val="sr-Cyrl-RS"/>
        </w:rPr>
        <w:t xml:space="preserve">Тржиште рада у Србији бележи позитивне промене, које су резултат континуираних напора на унапређењу економских политика и стварању повољног пословног окружења. У последњих неколико година, стопа запослености је у сталном порасту, док се стопа незапослености смањује, што указује на све веће могућности за запошљавање и професионални развој становништва. Према подацима Централног регистра обавезног социјалног осигурања (ЦРОСО), у периоду јануар-август 2024. године просечан број запослених био је већи за 0,6% у поређењу са истим периодом претходне године, чему је пре свега допринео раст запослености у приватном сектору од 10,8 хиљада лица, док је у јавном сектору раст износио 2,8 хиљада лица. У овом периоду, најснажнији секторски допринос расту запослености долази од здравства и научно-техничких делатности, а позитиван допринос дали су и сектори ИКТ и грађевинарства. Према подацима Националне службе за запошљавање, у истом периоду, број лица која активно траже запослење смањен је за 8,4%. </w:t>
      </w:r>
      <w:r w:rsidRPr="00E00086">
        <w:rPr>
          <w:rFonts w:ascii="Times New Roman" w:hAnsi="Times New Roman"/>
          <w:bCs/>
          <w:szCs w:val="24"/>
          <w:lang w:val="sr-Cyrl-RS"/>
        </w:rPr>
        <w:t xml:space="preserve">Позитивна кретања на тржишту рада потврђени су и подацима Анкете о радној снази. Након стопе незапослености од 9,4% у првом кварталу 2024. године, дошло је до њеног смањења на 8,2%, колико је износила у другом кварталу. У односу на други квартал 2023. године дошло је до повећања стопе запослености са 50,3% на 51,4%, као и смањења стопе становништва ван радне снаге за 0,4 п.п. Такође у том периоду забележено је и повећање броја активног становништва за 3,6 хиљада лица. У </w:t>
      </w:r>
      <w:r w:rsidRPr="00E00086">
        <w:rPr>
          <w:rFonts w:ascii="Times New Roman" w:hAnsi="Times New Roman"/>
          <w:bCs/>
          <w:szCs w:val="24"/>
          <w:lang w:val="sr-Cyrl-RS"/>
        </w:rPr>
        <w:lastRenderedPageBreak/>
        <w:t>укупној запослености повећан је број формално запослених за 56,6 хиљада и смањења броја неформално запослених за 8,1 хиљаду. На основу података Републичког завода за статистику у периоду јануар-август 2024. године, просечна нето зарада износила је 96.745 динара. У поређењу са истим периодом претходне године, просечна нето зарада номинално је већа за 14,6%, док је реално повећање износило 9,2%. Реални раст зарада у приватном сектору је износио 9,2% и био је вођен, пре свега повећањем зарада у прерађивачкој индустрији и трговини. Истовремено, забележено је и реално повећање зарада у јавном сектору од 9,5%, на шта је утицала одлука Владе о повећању зарада од 10% од јануара 2024. године, али и одлука о повећању зарада просветним и делу здравствених радника од 5,5% од октобра 2023. године.</w:t>
      </w:r>
    </w:p>
    <w:p w14:paraId="235817CA"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bookmarkStart w:id="0" w:name="_Hlk180000163"/>
      <w:r w:rsidRPr="00E00086">
        <w:rPr>
          <w:rFonts w:ascii="Times New Roman" w:hAnsi="Times New Roman"/>
          <w:bCs/>
          <w:szCs w:val="24"/>
          <w:lang w:val="sr-Cyrl-RS"/>
        </w:rPr>
        <w:t xml:space="preserve">Од априла 2023. године, у складу са очекивањима, међугодишња инфлација је на опадајућој путањи и мају 2024. године се вратила у границе циља, а у септембру је износила 4,2%. Успоравању инфлације допринели су ефекти претходног заоштравања монетарних услова, успоравање увозне инфлације, још увек ниска екстерна тражња, као и наставак смањења инфлационих очекивања. Посматрано по главним групама производа и услуга најзначајнији допринос смиривању инфлације имао је успорени раст цена хране и цена енергената. Истовремено, базна инфлација (мерена променом индекса потрошачких цена по искључењу хране, енергије, алкохола и цигарета), је била нешто виша и износила је 5,3%. </w:t>
      </w:r>
      <w:bookmarkEnd w:id="0"/>
      <w:r w:rsidRPr="00E00086">
        <w:rPr>
          <w:rFonts w:ascii="Times New Roman" w:hAnsi="Times New Roman"/>
          <w:bCs/>
          <w:szCs w:val="24"/>
          <w:lang w:val="sr-Cyrl-RS"/>
        </w:rPr>
        <w:t>Према актуелној пројекцији међугодишња инфлација ће наставити да се креће опадајућом путањoм, тако да би крајем 2024. године требало да износи 4,0%.</w:t>
      </w:r>
    </w:p>
    <w:p w14:paraId="05956000" w14:textId="77777777" w:rsidR="0079641B" w:rsidRPr="00E00086" w:rsidRDefault="0079641B" w:rsidP="0079641B">
      <w:pPr>
        <w:pStyle w:val="Heading3"/>
        <w:numPr>
          <w:ilvl w:val="0"/>
          <w:numId w:val="7"/>
        </w:numPr>
        <w:tabs>
          <w:tab w:val="left" w:pos="1440"/>
        </w:tabs>
        <w:spacing w:line="360" w:lineRule="auto"/>
        <w:rPr>
          <w:rFonts w:ascii="Times New Roman" w:hAnsi="Times New Roman"/>
          <w:sz w:val="24"/>
          <w:szCs w:val="24"/>
          <w:lang w:val="sr-Cyrl-RS"/>
        </w:rPr>
      </w:pPr>
      <w:r w:rsidRPr="00E00086">
        <w:rPr>
          <w:rFonts w:ascii="Times New Roman" w:hAnsi="Times New Roman"/>
          <w:sz w:val="24"/>
          <w:szCs w:val="24"/>
          <w:lang w:val="sr-Cyrl-RS"/>
        </w:rPr>
        <w:t>Макроекономске процене за 2025. годину</w:t>
      </w:r>
    </w:p>
    <w:p w14:paraId="4E909BA4" w14:textId="77777777" w:rsidR="0079641B" w:rsidRPr="00E00086" w:rsidRDefault="0079641B" w:rsidP="0079641B">
      <w:pPr>
        <w:rPr>
          <w:rFonts w:ascii="Times New Roman" w:hAnsi="Times New Roman"/>
          <w:b/>
          <w:szCs w:val="24"/>
          <w:lang w:val="sr-Cyrl-RS"/>
        </w:rPr>
      </w:pPr>
      <w:r w:rsidRPr="00E00086">
        <w:rPr>
          <w:rFonts w:ascii="Times New Roman" w:hAnsi="Times New Roman"/>
          <w:b/>
          <w:szCs w:val="24"/>
          <w:lang w:val="sr-Cyrl-RS"/>
        </w:rPr>
        <w:t>Међународно окружење</w:t>
      </w:r>
    </w:p>
    <w:p w14:paraId="1CAFD2E6" w14:textId="209C1754"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szCs w:val="24"/>
          <w:lang w:val="sr-Cyrl-RS"/>
        </w:rPr>
        <w:t>Упркос вишеструким шоковима који су последњих година обликовали глобалне економске трендове – пандемија, ратови, климатске катастрофе, инфлација и заоштравање глобалних финансијских услова – финансијски и економски изгледи у међународном окружењу су се стабилизовали. Према октобарским проценама ММФ, глобални економски раст је у 2024. години износиће 3,2% и очекује се да ће наставити истом динамиком и у 2025. години, што је непромењено у односу на претходна очекивања. Ипак, темпо експанзије је низак у поређењу с историјским трендови</w:t>
      </w:r>
      <w:r w:rsidR="00E00086">
        <w:rPr>
          <w:rFonts w:ascii="Times New Roman" w:hAnsi="Times New Roman"/>
          <w:bCs/>
          <w:szCs w:val="24"/>
          <w:lang w:val="sr-Cyrl-RS"/>
        </w:rPr>
        <w:t>ма</w:t>
      </w:r>
      <w:r w:rsidRPr="00E00086">
        <w:rPr>
          <w:rFonts w:ascii="Times New Roman" w:hAnsi="Times New Roman"/>
          <w:bCs/>
          <w:szCs w:val="24"/>
          <w:lang w:val="sr-Cyrl-RS"/>
        </w:rPr>
        <w:t>, како због краткорочних фактора као што су и даље високи трошкови задуживања и смањење фискалне подршке, тако и због дугорочних ефеката изазваних пандемијом COVID-19 и сукобом у Украјини, слабог раста продуктивности и растућег геоекономског фрагментира</w:t>
      </w:r>
      <w:r w:rsidR="00993E65">
        <w:rPr>
          <w:rFonts w:ascii="Times New Roman" w:hAnsi="Times New Roman"/>
          <w:bCs/>
          <w:szCs w:val="24"/>
          <w:lang w:val="sr-Cyrl-RS"/>
        </w:rPr>
        <w:t>њ</w:t>
      </w:r>
      <w:r w:rsidRPr="00E00086">
        <w:rPr>
          <w:rFonts w:ascii="Times New Roman" w:hAnsi="Times New Roman"/>
          <w:bCs/>
          <w:szCs w:val="24"/>
          <w:lang w:val="sr-Cyrl-RS"/>
        </w:rPr>
        <w:t xml:space="preserve">а и повећања регионалних неједнакости.  </w:t>
      </w:r>
    </w:p>
    <w:p w14:paraId="203A7FBF"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szCs w:val="24"/>
          <w:lang w:val="sr-Cyrl-RS"/>
        </w:rPr>
        <w:t xml:space="preserve">Код развијених земаља очекује се стабилан раст БДП који ће се кретати на нивоу између 1,7% и 1,8% у прогнозираном периоду, али уз изражене разлике динамике економске активности код појединих земаља. Пројекција раста привреде САД за 2024. годину повећана је на 2,8%, што је 0,2 п.п. више од претходне прогнозе, док је за 2025. годину раст такође ревидиран навише за 0,3 п.п. Ове ревизије се заснивају на континуираној отпорности тржишта рада и јачој домаћој потрошњи, уз очекивање да ће инфлација наставити да опада. Упркос томе што се очекује да ће каматне стопе остати на релативно високим нивоима, америчка економија је показала већу способност да се прилагоди овим условима, подржана јаким потрошачким и инвестиционим активностима. Очекује се скромни опоравак привреде еврозоне од 0,8% у 2024. години као резултат нешто бољег извоза, нарочито добара. За 2025. годину пројектован је раст од 1,2%, што је за 0,3 п.п. ниже у односу на претходна очекивања. Слабији економски раст у еврозони превасходно је последица изазова са којима се суочавају кључне економије, попут Немачке, која бележи стагнацију, што додатно оптерећује целокупну економску ситуацију. Слабости у производном сектору и низак ниво продуктивности представљају кључне препреке за јачи опоравак. Такође, ризици повезани с геополитиком, као што су регионални сукоби и раст протекционизма, могли би додатно успорити опоравак. Код </w:t>
      </w:r>
      <w:r w:rsidRPr="00E00086">
        <w:rPr>
          <w:rFonts w:ascii="Times New Roman" w:hAnsi="Times New Roman"/>
          <w:bCs/>
          <w:szCs w:val="24"/>
          <w:lang w:val="sr-Cyrl-RS"/>
        </w:rPr>
        <w:lastRenderedPageBreak/>
        <w:t xml:space="preserve">земаља у успону ситуација је слична као и код развијених економија, те су изгледи за раст изузетно стабилни у средњем року, крећући се око 4,2%, али такође уз изражене разлике међу регионима. </w:t>
      </w: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gridCol w:w="1032"/>
        <w:gridCol w:w="1032"/>
        <w:gridCol w:w="1032"/>
        <w:gridCol w:w="1032"/>
        <w:gridCol w:w="1032"/>
      </w:tblGrid>
      <w:tr w:rsidR="0079641B" w:rsidRPr="00E00086" w14:paraId="5E6E7E85" w14:textId="77777777" w:rsidTr="00B85411">
        <w:trPr>
          <w:trHeight w:val="351"/>
        </w:trPr>
        <w:tc>
          <w:tcPr>
            <w:tcW w:w="5000" w:type="pct"/>
            <w:gridSpan w:val="6"/>
            <w:tcBorders>
              <w:bottom w:val="single" w:sz="4" w:space="0" w:color="002060"/>
            </w:tcBorders>
            <w:vAlign w:val="center"/>
          </w:tcPr>
          <w:p w14:paraId="7F439315" w14:textId="77777777" w:rsidR="0079641B" w:rsidRPr="00E00086" w:rsidRDefault="0079641B" w:rsidP="00B85411">
            <w:pPr>
              <w:jc w:val="center"/>
              <w:rPr>
                <w:rFonts w:ascii="Times New Roman" w:hAnsi="Times New Roman"/>
                <w:b/>
                <w:lang w:val="sr-Cyrl-RS"/>
              </w:rPr>
            </w:pPr>
            <w:r w:rsidRPr="00E00086">
              <w:rPr>
                <w:rFonts w:ascii="Times New Roman" w:hAnsi="Times New Roman"/>
                <w:b/>
                <w:lang w:val="sr-Cyrl-RS"/>
              </w:rPr>
              <w:t>Табела 1. Међународно окружење – макроекономски показатељи</w:t>
            </w:r>
          </w:p>
        </w:tc>
      </w:tr>
      <w:tr w:rsidR="0079641B" w:rsidRPr="00E00086" w14:paraId="3D457191" w14:textId="77777777" w:rsidTr="00B85411">
        <w:trPr>
          <w:trHeight w:val="180"/>
        </w:trPr>
        <w:tc>
          <w:tcPr>
            <w:tcW w:w="2220" w:type="pct"/>
            <w:tcBorders>
              <w:top w:val="single" w:sz="4" w:space="0" w:color="002060"/>
              <w:left w:val="single" w:sz="2" w:space="0" w:color="FFFFFF" w:themeColor="background1"/>
              <w:bottom w:val="single" w:sz="2" w:space="0" w:color="FFFFFF" w:themeColor="background1"/>
              <w:right w:val="single" w:sz="2" w:space="0" w:color="FFFFFF" w:themeColor="background1"/>
            </w:tcBorders>
          </w:tcPr>
          <w:p w14:paraId="4FF891C0" w14:textId="77777777" w:rsidR="0079641B" w:rsidRPr="00E00086" w:rsidRDefault="0079641B" w:rsidP="00B85411">
            <w:pPr>
              <w:rPr>
                <w:rFonts w:cstheme="minorHAnsi"/>
                <w:sz w:val="18"/>
                <w:lang w:val="sr-Cyrl-RS"/>
              </w:rPr>
            </w:pPr>
          </w:p>
        </w:tc>
        <w:tc>
          <w:tcPr>
            <w:tcW w:w="556" w:type="pct"/>
            <w:tcBorders>
              <w:top w:val="single" w:sz="4" w:space="0" w:color="002060"/>
              <w:left w:val="single" w:sz="2" w:space="0" w:color="FFFFFF" w:themeColor="background1"/>
              <w:bottom w:val="single" w:sz="4" w:space="0" w:color="002060"/>
              <w:right w:val="single" w:sz="2" w:space="0" w:color="FFFFFF" w:themeColor="background1"/>
            </w:tcBorders>
          </w:tcPr>
          <w:p w14:paraId="0DFC6000" w14:textId="77777777" w:rsidR="0079641B" w:rsidRPr="00E00086" w:rsidRDefault="0079641B" w:rsidP="00B85411">
            <w:pPr>
              <w:jc w:val="center"/>
              <w:rPr>
                <w:rFonts w:cstheme="minorHAnsi"/>
                <w:sz w:val="18"/>
                <w:lang w:val="sr-Cyrl-RS"/>
              </w:rPr>
            </w:pPr>
            <w:r w:rsidRPr="00E00086">
              <w:rPr>
                <w:rFonts w:cstheme="minorHAnsi"/>
                <w:sz w:val="18"/>
                <w:lang w:val="sr-Cyrl-RS"/>
              </w:rPr>
              <w:t>2023</w:t>
            </w:r>
          </w:p>
        </w:tc>
        <w:tc>
          <w:tcPr>
            <w:tcW w:w="556" w:type="pct"/>
            <w:tcBorders>
              <w:top w:val="single" w:sz="4" w:space="0" w:color="002060"/>
              <w:left w:val="single" w:sz="2" w:space="0" w:color="FFFFFF" w:themeColor="background1"/>
              <w:bottom w:val="single" w:sz="4" w:space="0" w:color="002060"/>
              <w:right w:val="single" w:sz="2" w:space="0" w:color="FFFFFF" w:themeColor="background1"/>
            </w:tcBorders>
          </w:tcPr>
          <w:p w14:paraId="25FB8D09" w14:textId="77777777" w:rsidR="0079641B" w:rsidRPr="00E00086" w:rsidRDefault="0079641B" w:rsidP="00B85411">
            <w:pPr>
              <w:jc w:val="center"/>
              <w:rPr>
                <w:rFonts w:cstheme="minorHAnsi"/>
                <w:sz w:val="18"/>
                <w:lang w:val="sr-Cyrl-RS"/>
              </w:rPr>
            </w:pPr>
            <w:r w:rsidRPr="00E00086">
              <w:rPr>
                <w:rFonts w:cstheme="minorHAnsi"/>
                <w:sz w:val="18"/>
                <w:lang w:val="sr-Cyrl-RS"/>
              </w:rPr>
              <w:t>2024</w:t>
            </w:r>
          </w:p>
        </w:tc>
        <w:tc>
          <w:tcPr>
            <w:tcW w:w="556" w:type="pct"/>
            <w:tcBorders>
              <w:top w:val="single" w:sz="4" w:space="0" w:color="002060"/>
              <w:left w:val="single" w:sz="2" w:space="0" w:color="FFFFFF" w:themeColor="background1"/>
              <w:bottom w:val="single" w:sz="4" w:space="0" w:color="002060"/>
              <w:right w:val="single" w:sz="2" w:space="0" w:color="FFFFFF" w:themeColor="background1"/>
            </w:tcBorders>
          </w:tcPr>
          <w:p w14:paraId="3E5E4C1D" w14:textId="77777777" w:rsidR="0079641B" w:rsidRPr="00E00086" w:rsidRDefault="0079641B" w:rsidP="00B85411">
            <w:pPr>
              <w:jc w:val="center"/>
              <w:rPr>
                <w:rFonts w:cstheme="minorHAnsi"/>
                <w:sz w:val="18"/>
                <w:lang w:val="sr-Cyrl-RS"/>
              </w:rPr>
            </w:pPr>
            <w:r w:rsidRPr="00E00086">
              <w:rPr>
                <w:rFonts w:cstheme="minorHAnsi"/>
                <w:sz w:val="18"/>
                <w:lang w:val="sr-Cyrl-RS"/>
              </w:rPr>
              <w:t>2025</w:t>
            </w:r>
          </w:p>
        </w:tc>
        <w:tc>
          <w:tcPr>
            <w:tcW w:w="556" w:type="pct"/>
            <w:tcBorders>
              <w:top w:val="single" w:sz="4" w:space="0" w:color="002060"/>
              <w:left w:val="single" w:sz="2" w:space="0" w:color="FFFFFF" w:themeColor="background1"/>
              <w:bottom w:val="single" w:sz="4" w:space="0" w:color="002060"/>
              <w:right w:val="single" w:sz="2" w:space="0" w:color="FFFFFF" w:themeColor="background1"/>
            </w:tcBorders>
          </w:tcPr>
          <w:p w14:paraId="429AD711" w14:textId="77777777" w:rsidR="0079641B" w:rsidRPr="00E00086" w:rsidRDefault="0079641B" w:rsidP="00B85411">
            <w:pPr>
              <w:jc w:val="center"/>
              <w:rPr>
                <w:rFonts w:cstheme="minorHAnsi"/>
                <w:sz w:val="18"/>
                <w:lang w:val="sr-Cyrl-RS"/>
              </w:rPr>
            </w:pPr>
            <w:r w:rsidRPr="00E00086">
              <w:rPr>
                <w:rFonts w:cstheme="minorHAnsi"/>
                <w:sz w:val="18"/>
                <w:lang w:val="sr-Cyrl-RS"/>
              </w:rPr>
              <w:t>2026</w:t>
            </w:r>
          </w:p>
        </w:tc>
        <w:tc>
          <w:tcPr>
            <w:tcW w:w="556" w:type="pct"/>
            <w:tcBorders>
              <w:top w:val="single" w:sz="4" w:space="0" w:color="002060"/>
              <w:left w:val="single" w:sz="2" w:space="0" w:color="FFFFFF" w:themeColor="background1"/>
              <w:bottom w:val="single" w:sz="4" w:space="0" w:color="002060"/>
              <w:right w:val="single" w:sz="2" w:space="0" w:color="FFFFFF" w:themeColor="background1"/>
            </w:tcBorders>
          </w:tcPr>
          <w:p w14:paraId="49397B8B" w14:textId="77777777" w:rsidR="0079641B" w:rsidRPr="00E00086" w:rsidRDefault="0079641B" w:rsidP="00B85411">
            <w:pPr>
              <w:jc w:val="center"/>
              <w:rPr>
                <w:rFonts w:cstheme="minorHAnsi"/>
                <w:sz w:val="18"/>
                <w:lang w:val="sr-Cyrl-RS"/>
              </w:rPr>
            </w:pPr>
            <w:r w:rsidRPr="00E00086">
              <w:rPr>
                <w:rFonts w:cstheme="minorHAnsi"/>
                <w:sz w:val="18"/>
                <w:lang w:val="sr-Cyrl-RS"/>
              </w:rPr>
              <w:t>2027</w:t>
            </w:r>
          </w:p>
        </w:tc>
      </w:tr>
      <w:tr w:rsidR="0079641B" w:rsidRPr="00E00086" w14:paraId="63F6C0B2" w14:textId="77777777" w:rsidTr="00B85411">
        <w:trPr>
          <w:trHeight w:val="190"/>
        </w:trPr>
        <w:tc>
          <w:tcPr>
            <w:tcW w:w="2220" w:type="pct"/>
            <w:tcBorders>
              <w:top w:val="single" w:sz="2" w:space="0" w:color="FFFFFF" w:themeColor="background1"/>
              <w:left w:val="single" w:sz="2" w:space="0" w:color="FFFFFF" w:themeColor="background1"/>
              <w:bottom w:val="single" w:sz="2" w:space="0" w:color="FFFFFF" w:themeColor="background1"/>
            </w:tcBorders>
            <w:shd w:val="clear" w:color="auto" w:fill="EEECE1" w:themeFill="background2"/>
          </w:tcPr>
          <w:p w14:paraId="2C229AFF" w14:textId="77777777" w:rsidR="0079641B" w:rsidRPr="00E00086" w:rsidRDefault="0079641B" w:rsidP="00B85411">
            <w:pPr>
              <w:rPr>
                <w:rFonts w:ascii="Times New Roman" w:hAnsi="Times New Roman"/>
                <w:sz w:val="18"/>
                <w:lang w:val="sr-Cyrl-RS"/>
              </w:rPr>
            </w:pPr>
            <w:r w:rsidRPr="00E00086">
              <w:rPr>
                <w:rFonts w:ascii="Times New Roman" w:hAnsi="Times New Roman"/>
                <w:sz w:val="18"/>
                <w:lang w:val="sr-Cyrl-RS"/>
              </w:rPr>
              <w:t>Реални раст БДП</w:t>
            </w:r>
            <w:r w:rsidRPr="00E00086">
              <w:rPr>
                <w:rFonts w:ascii="Times New Roman" w:hAnsi="Times New Roman"/>
                <w:sz w:val="18"/>
                <w:vertAlign w:val="superscript"/>
                <w:lang w:val="sr-Cyrl-RS"/>
              </w:rPr>
              <w:t>1</w:t>
            </w:r>
            <w:r w:rsidRPr="00E00086">
              <w:rPr>
                <w:rFonts w:ascii="Times New Roman" w:hAnsi="Times New Roman"/>
                <w:sz w:val="18"/>
                <w:lang w:val="sr-Cyrl-RS"/>
              </w:rPr>
              <w:t>, %</w:t>
            </w:r>
          </w:p>
        </w:tc>
        <w:tc>
          <w:tcPr>
            <w:tcW w:w="556" w:type="pct"/>
            <w:tcBorders>
              <w:top w:val="single" w:sz="2" w:space="0" w:color="FFFFFF" w:themeColor="background1"/>
              <w:bottom w:val="single" w:sz="2" w:space="0" w:color="FFFFFF" w:themeColor="background1"/>
            </w:tcBorders>
            <w:shd w:val="clear" w:color="auto" w:fill="EEECE1" w:themeFill="background2"/>
          </w:tcPr>
          <w:p w14:paraId="46A101E0" w14:textId="77777777" w:rsidR="0079641B" w:rsidRPr="00E00086" w:rsidRDefault="0079641B" w:rsidP="00B85411">
            <w:pPr>
              <w:rPr>
                <w:rFonts w:ascii="Times New Roman" w:hAnsi="Times New Roman"/>
                <w:sz w:val="18"/>
                <w:lang w:val="sr-Cyrl-RS"/>
              </w:rPr>
            </w:pPr>
          </w:p>
        </w:tc>
        <w:tc>
          <w:tcPr>
            <w:tcW w:w="556" w:type="pct"/>
            <w:tcBorders>
              <w:top w:val="single" w:sz="2" w:space="0" w:color="FFFFFF" w:themeColor="background1"/>
              <w:bottom w:val="single" w:sz="2" w:space="0" w:color="FFFFFF" w:themeColor="background1"/>
            </w:tcBorders>
            <w:shd w:val="clear" w:color="auto" w:fill="EEECE1" w:themeFill="background2"/>
          </w:tcPr>
          <w:p w14:paraId="29D1D507" w14:textId="77777777" w:rsidR="0079641B" w:rsidRPr="00E00086" w:rsidRDefault="0079641B" w:rsidP="00B85411">
            <w:pPr>
              <w:rPr>
                <w:rFonts w:ascii="Times New Roman" w:hAnsi="Times New Roman"/>
                <w:sz w:val="18"/>
                <w:lang w:val="sr-Cyrl-RS"/>
              </w:rPr>
            </w:pPr>
          </w:p>
        </w:tc>
        <w:tc>
          <w:tcPr>
            <w:tcW w:w="556" w:type="pct"/>
            <w:tcBorders>
              <w:top w:val="single" w:sz="2" w:space="0" w:color="FFFFFF" w:themeColor="background1"/>
              <w:bottom w:val="single" w:sz="2" w:space="0" w:color="FFFFFF" w:themeColor="background1"/>
            </w:tcBorders>
            <w:shd w:val="clear" w:color="auto" w:fill="EEECE1" w:themeFill="background2"/>
          </w:tcPr>
          <w:p w14:paraId="71E64189" w14:textId="77777777" w:rsidR="0079641B" w:rsidRPr="00E00086" w:rsidRDefault="0079641B" w:rsidP="00B85411">
            <w:pPr>
              <w:rPr>
                <w:rFonts w:ascii="Times New Roman" w:hAnsi="Times New Roman"/>
                <w:sz w:val="18"/>
                <w:lang w:val="sr-Cyrl-RS"/>
              </w:rPr>
            </w:pPr>
          </w:p>
        </w:tc>
        <w:tc>
          <w:tcPr>
            <w:tcW w:w="556" w:type="pct"/>
            <w:tcBorders>
              <w:top w:val="single" w:sz="2" w:space="0" w:color="FFFFFF" w:themeColor="background1"/>
              <w:bottom w:val="single" w:sz="2" w:space="0" w:color="FFFFFF" w:themeColor="background1"/>
            </w:tcBorders>
            <w:shd w:val="clear" w:color="auto" w:fill="EEECE1" w:themeFill="background2"/>
          </w:tcPr>
          <w:p w14:paraId="296D165D" w14:textId="77777777" w:rsidR="0079641B" w:rsidRPr="00E00086" w:rsidRDefault="0079641B" w:rsidP="00B85411">
            <w:pPr>
              <w:rPr>
                <w:rFonts w:ascii="Times New Roman" w:hAnsi="Times New Roman"/>
                <w:sz w:val="18"/>
                <w:lang w:val="sr-Cyrl-RS"/>
              </w:rPr>
            </w:pPr>
          </w:p>
        </w:tc>
        <w:tc>
          <w:tcPr>
            <w:tcW w:w="556" w:type="pct"/>
            <w:tcBorders>
              <w:top w:val="single" w:sz="2" w:space="0" w:color="FFFFFF" w:themeColor="background1"/>
              <w:bottom w:val="single" w:sz="2" w:space="0" w:color="FFFFFF" w:themeColor="background1"/>
              <w:right w:val="single" w:sz="2" w:space="0" w:color="FFFFFF" w:themeColor="background1"/>
            </w:tcBorders>
            <w:shd w:val="clear" w:color="auto" w:fill="EEECE1" w:themeFill="background2"/>
          </w:tcPr>
          <w:p w14:paraId="58FFAF59" w14:textId="77777777" w:rsidR="0079641B" w:rsidRPr="00E00086" w:rsidRDefault="0079641B" w:rsidP="00B85411">
            <w:pPr>
              <w:rPr>
                <w:rFonts w:ascii="Times New Roman" w:hAnsi="Times New Roman"/>
                <w:sz w:val="18"/>
                <w:lang w:val="sr-Cyrl-RS"/>
              </w:rPr>
            </w:pPr>
          </w:p>
        </w:tc>
      </w:tr>
      <w:tr w:rsidR="0079641B" w:rsidRPr="00E00086" w14:paraId="2863798E" w14:textId="77777777" w:rsidTr="00B85411">
        <w:trPr>
          <w:trHeight w:val="190"/>
        </w:trPr>
        <w:tc>
          <w:tcPr>
            <w:tcW w:w="2220" w:type="pct"/>
            <w:tcBorders>
              <w:top w:val="single" w:sz="2" w:space="0" w:color="FFFFFF" w:themeColor="background1"/>
            </w:tcBorders>
          </w:tcPr>
          <w:p w14:paraId="0C4B64ED" w14:textId="77777777" w:rsidR="0079641B" w:rsidRPr="00E00086" w:rsidRDefault="0079641B" w:rsidP="00B85411">
            <w:pPr>
              <w:ind w:left="255"/>
              <w:rPr>
                <w:rFonts w:ascii="Times New Roman" w:hAnsi="Times New Roman"/>
                <w:sz w:val="18"/>
                <w:lang w:val="sr-Cyrl-RS"/>
              </w:rPr>
            </w:pPr>
            <w:r w:rsidRPr="00E00086">
              <w:rPr>
                <w:rFonts w:ascii="Times New Roman" w:hAnsi="Times New Roman"/>
                <w:sz w:val="18"/>
                <w:lang w:val="sr-Cyrl-RS"/>
              </w:rPr>
              <w:t>Свет укупно</w:t>
            </w:r>
          </w:p>
        </w:tc>
        <w:tc>
          <w:tcPr>
            <w:tcW w:w="556" w:type="pct"/>
            <w:tcBorders>
              <w:top w:val="single" w:sz="2" w:space="0" w:color="FFFFFF" w:themeColor="background1"/>
            </w:tcBorders>
            <w:vAlign w:val="center"/>
          </w:tcPr>
          <w:p w14:paraId="436BA007"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3,3</w:t>
            </w:r>
          </w:p>
        </w:tc>
        <w:tc>
          <w:tcPr>
            <w:tcW w:w="556" w:type="pct"/>
            <w:tcBorders>
              <w:top w:val="single" w:sz="2" w:space="0" w:color="FFFFFF" w:themeColor="background1"/>
            </w:tcBorders>
            <w:vAlign w:val="center"/>
          </w:tcPr>
          <w:p w14:paraId="12E714C5"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3,2</w:t>
            </w:r>
          </w:p>
        </w:tc>
        <w:tc>
          <w:tcPr>
            <w:tcW w:w="556" w:type="pct"/>
            <w:tcBorders>
              <w:top w:val="single" w:sz="2" w:space="0" w:color="FFFFFF" w:themeColor="background1"/>
            </w:tcBorders>
            <w:vAlign w:val="center"/>
          </w:tcPr>
          <w:p w14:paraId="46149671"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3,2</w:t>
            </w:r>
          </w:p>
        </w:tc>
        <w:tc>
          <w:tcPr>
            <w:tcW w:w="556" w:type="pct"/>
            <w:tcBorders>
              <w:top w:val="single" w:sz="2" w:space="0" w:color="FFFFFF" w:themeColor="background1"/>
            </w:tcBorders>
            <w:vAlign w:val="center"/>
          </w:tcPr>
          <w:p w14:paraId="1EDC54D4"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3,3</w:t>
            </w:r>
          </w:p>
        </w:tc>
        <w:tc>
          <w:tcPr>
            <w:tcW w:w="556" w:type="pct"/>
            <w:tcBorders>
              <w:top w:val="single" w:sz="2" w:space="0" w:color="FFFFFF" w:themeColor="background1"/>
            </w:tcBorders>
            <w:vAlign w:val="center"/>
          </w:tcPr>
          <w:p w14:paraId="05AF1273"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3,2</w:t>
            </w:r>
          </w:p>
        </w:tc>
      </w:tr>
      <w:tr w:rsidR="0079641B" w:rsidRPr="00E00086" w14:paraId="1242E26F" w14:textId="77777777" w:rsidTr="00B85411">
        <w:trPr>
          <w:trHeight w:val="180"/>
        </w:trPr>
        <w:tc>
          <w:tcPr>
            <w:tcW w:w="2220" w:type="pct"/>
          </w:tcPr>
          <w:p w14:paraId="0B3B03C5" w14:textId="77777777" w:rsidR="0079641B" w:rsidRPr="00E00086" w:rsidRDefault="0079641B" w:rsidP="00B85411">
            <w:pPr>
              <w:ind w:left="255"/>
              <w:rPr>
                <w:rFonts w:ascii="Times New Roman" w:hAnsi="Times New Roman"/>
                <w:sz w:val="18"/>
                <w:lang w:val="sr-Cyrl-RS"/>
              </w:rPr>
            </w:pPr>
            <w:r w:rsidRPr="00E00086">
              <w:rPr>
                <w:rFonts w:ascii="Times New Roman" w:hAnsi="Times New Roman"/>
                <w:sz w:val="18"/>
                <w:lang w:val="sr-Cyrl-RS"/>
              </w:rPr>
              <w:t>Развијене економије</w:t>
            </w:r>
          </w:p>
        </w:tc>
        <w:tc>
          <w:tcPr>
            <w:tcW w:w="556" w:type="pct"/>
            <w:vAlign w:val="center"/>
          </w:tcPr>
          <w:p w14:paraId="720C6578"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1,7</w:t>
            </w:r>
          </w:p>
        </w:tc>
        <w:tc>
          <w:tcPr>
            <w:tcW w:w="556" w:type="pct"/>
            <w:vAlign w:val="center"/>
          </w:tcPr>
          <w:p w14:paraId="609DA2AE"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1,8</w:t>
            </w:r>
          </w:p>
        </w:tc>
        <w:tc>
          <w:tcPr>
            <w:tcW w:w="556" w:type="pct"/>
            <w:vAlign w:val="center"/>
          </w:tcPr>
          <w:p w14:paraId="1A76D13E"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1,8</w:t>
            </w:r>
          </w:p>
        </w:tc>
        <w:tc>
          <w:tcPr>
            <w:tcW w:w="556" w:type="pct"/>
            <w:vAlign w:val="center"/>
          </w:tcPr>
          <w:p w14:paraId="5B45FDCE"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1,8</w:t>
            </w:r>
          </w:p>
        </w:tc>
        <w:tc>
          <w:tcPr>
            <w:tcW w:w="556" w:type="pct"/>
            <w:vAlign w:val="center"/>
          </w:tcPr>
          <w:p w14:paraId="2726B036"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1,7</w:t>
            </w:r>
          </w:p>
        </w:tc>
      </w:tr>
      <w:tr w:rsidR="0079641B" w:rsidRPr="00E00086" w14:paraId="444B8F02" w14:textId="77777777" w:rsidTr="00B85411">
        <w:trPr>
          <w:trHeight w:val="190"/>
        </w:trPr>
        <w:tc>
          <w:tcPr>
            <w:tcW w:w="2220" w:type="pct"/>
          </w:tcPr>
          <w:p w14:paraId="2AF5757F" w14:textId="77777777" w:rsidR="0079641B" w:rsidRPr="00E00086" w:rsidRDefault="0079641B" w:rsidP="00B85411">
            <w:pPr>
              <w:ind w:left="615" w:hanging="180"/>
              <w:rPr>
                <w:rFonts w:ascii="Times New Roman" w:hAnsi="Times New Roman"/>
                <w:sz w:val="18"/>
                <w:lang w:val="sr-Cyrl-RS"/>
              </w:rPr>
            </w:pPr>
            <w:r w:rsidRPr="00E00086">
              <w:rPr>
                <w:rFonts w:ascii="Times New Roman" w:hAnsi="Times New Roman"/>
                <w:sz w:val="18"/>
                <w:lang w:val="sr-Cyrl-RS"/>
              </w:rPr>
              <w:t>САД</w:t>
            </w:r>
          </w:p>
        </w:tc>
        <w:tc>
          <w:tcPr>
            <w:tcW w:w="556" w:type="pct"/>
            <w:vAlign w:val="center"/>
          </w:tcPr>
          <w:p w14:paraId="25A95351"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2,9</w:t>
            </w:r>
          </w:p>
        </w:tc>
        <w:tc>
          <w:tcPr>
            <w:tcW w:w="556" w:type="pct"/>
            <w:vAlign w:val="center"/>
          </w:tcPr>
          <w:p w14:paraId="6BEE1D85"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2,8</w:t>
            </w:r>
          </w:p>
        </w:tc>
        <w:tc>
          <w:tcPr>
            <w:tcW w:w="556" w:type="pct"/>
            <w:vAlign w:val="center"/>
          </w:tcPr>
          <w:p w14:paraId="28EF6204"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2,2</w:t>
            </w:r>
          </w:p>
        </w:tc>
        <w:tc>
          <w:tcPr>
            <w:tcW w:w="556" w:type="pct"/>
            <w:vAlign w:val="center"/>
          </w:tcPr>
          <w:p w14:paraId="0290001C"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2,0</w:t>
            </w:r>
          </w:p>
        </w:tc>
        <w:tc>
          <w:tcPr>
            <w:tcW w:w="556" w:type="pct"/>
            <w:vAlign w:val="center"/>
          </w:tcPr>
          <w:p w14:paraId="6960DEAD"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2,1</w:t>
            </w:r>
          </w:p>
        </w:tc>
      </w:tr>
      <w:tr w:rsidR="0079641B" w:rsidRPr="00E00086" w14:paraId="29E4863F" w14:textId="77777777" w:rsidTr="00B85411">
        <w:trPr>
          <w:trHeight w:val="180"/>
        </w:trPr>
        <w:tc>
          <w:tcPr>
            <w:tcW w:w="2220" w:type="pct"/>
          </w:tcPr>
          <w:p w14:paraId="21BA0962" w14:textId="77777777" w:rsidR="0079641B" w:rsidRPr="00E00086" w:rsidRDefault="0079641B" w:rsidP="00B85411">
            <w:pPr>
              <w:ind w:left="615" w:hanging="180"/>
              <w:rPr>
                <w:rFonts w:ascii="Times New Roman" w:hAnsi="Times New Roman"/>
                <w:sz w:val="18"/>
                <w:lang w:val="sr-Cyrl-RS"/>
              </w:rPr>
            </w:pPr>
            <w:r w:rsidRPr="00E00086">
              <w:rPr>
                <w:rFonts w:ascii="Times New Roman" w:hAnsi="Times New Roman"/>
                <w:sz w:val="18"/>
                <w:lang w:val="sr-Cyrl-RS"/>
              </w:rPr>
              <w:t>Еврозона</w:t>
            </w:r>
          </w:p>
        </w:tc>
        <w:tc>
          <w:tcPr>
            <w:tcW w:w="556" w:type="pct"/>
            <w:vAlign w:val="center"/>
          </w:tcPr>
          <w:p w14:paraId="7906BD47"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0,4</w:t>
            </w:r>
          </w:p>
        </w:tc>
        <w:tc>
          <w:tcPr>
            <w:tcW w:w="556" w:type="pct"/>
            <w:vAlign w:val="center"/>
          </w:tcPr>
          <w:p w14:paraId="12985457"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0,8</w:t>
            </w:r>
          </w:p>
        </w:tc>
        <w:tc>
          <w:tcPr>
            <w:tcW w:w="556" w:type="pct"/>
            <w:vAlign w:val="center"/>
          </w:tcPr>
          <w:p w14:paraId="78E857B5"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1,2</w:t>
            </w:r>
          </w:p>
        </w:tc>
        <w:tc>
          <w:tcPr>
            <w:tcW w:w="556" w:type="pct"/>
            <w:vAlign w:val="center"/>
          </w:tcPr>
          <w:p w14:paraId="0479AD40"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1,5</w:t>
            </w:r>
          </w:p>
        </w:tc>
        <w:tc>
          <w:tcPr>
            <w:tcW w:w="556" w:type="pct"/>
            <w:vAlign w:val="center"/>
          </w:tcPr>
          <w:p w14:paraId="4AF81258"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1,4</w:t>
            </w:r>
          </w:p>
        </w:tc>
      </w:tr>
      <w:tr w:rsidR="0079641B" w:rsidRPr="00E00086" w14:paraId="2C44BF16" w14:textId="77777777" w:rsidTr="00B85411">
        <w:trPr>
          <w:trHeight w:val="190"/>
        </w:trPr>
        <w:tc>
          <w:tcPr>
            <w:tcW w:w="2220" w:type="pct"/>
          </w:tcPr>
          <w:p w14:paraId="3EFEF548" w14:textId="77777777" w:rsidR="0079641B" w:rsidRPr="00E00086" w:rsidRDefault="0079641B" w:rsidP="00B85411">
            <w:pPr>
              <w:ind w:left="345" w:hanging="90"/>
              <w:rPr>
                <w:rFonts w:ascii="Times New Roman" w:hAnsi="Times New Roman"/>
                <w:sz w:val="18"/>
                <w:lang w:val="sr-Cyrl-RS"/>
              </w:rPr>
            </w:pPr>
            <w:r w:rsidRPr="00E00086">
              <w:rPr>
                <w:rFonts w:ascii="Times New Roman" w:hAnsi="Times New Roman"/>
                <w:sz w:val="18"/>
                <w:lang w:val="sr-Cyrl-RS"/>
              </w:rPr>
              <w:t>Земље у успону</w:t>
            </w:r>
          </w:p>
        </w:tc>
        <w:tc>
          <w:tcPr>
            <w:tcW w:w="556" w:type="pct"/>
            <w:vAlign w:val="center"/>
          </w:tcPr>
          <w:p w14:paraId="56148F31"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4,4</w:t>
            </w:r>
          </w:p>
        </w:tc>
        <w:tc>
          <w:tcPr>
            <w:tcW w:w="556" w:type="pct"/>
            <w:vAlign w:val="center"/>
          </w:tcPr>
          <w:p w14:paraId="6DC621F1"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4,2</w:t>
            </w:r>
          </w:p>
        </w:tc>
        <w:tc>
          <w:tcPr>
            <w:tcW w:w="556" w:type="pct"/>
            <w:vAlign w:val="center"/>
          </w:tcPr>
          <w:p w14:paraId="6510FDE7"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4,2</w:t>
            </w:r>
          </w:p>
        </w:tc>
        <w:tc>
          <w:tcPr>
            <w:tcW w:w="556" w:type="pct"/>
            <w:vAlign w:val="center"/>
          </w:tcPr>
          <w:p w14:paraId="57E981B9"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4,2</w:t>
            </w:r>
          </w:p>
        </w:tc>
        <w:tc>
          <w:tcPr>
            <w:tcW w:w="556" w:type="pct"/>
            <w:vAlign w:val="center"/>
          </w:tcPr>
          <w:p w14:paraId="34228B3F"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4,0</w:t>
            </w:r>
          </w:p>
        </w:tc>
      </w:tr>
      <w:tr w:rsidR="0079641B" w:rsidRPr="00E00086" w14:paraId="3A233495" w14:textId="77777777" w:rsidTr="00B85411">
        <w:trPr>
          <w:trHeight w:val="180"/>
        </w:trPr>
        <w:tc>
          <w:tcPr>
            <w:tcW w:w="2220" w:type="pct"/>
          </w:tcPr>
          <w:p w14:paraId="6463889B" w14:textId="77777777" w:rsidR="0079641B" w:rsidRPr="00E00086" w:rsidRDefault="0079641B" w:rsidP="00B85411">
            <w:pPr>
              <w:ind w:left="615" w:hanging="180"/>
              <w:rPr>
                <w:rFonts w:ascii="Times New Roman" w:hAnsi="Times New Roman"/>
                <w:sz w:val="18"/>
                <w:lang w:val="sr-Cyrl-RS"/>
              </w:rPr>
            </w:pPr>
            <w:r w:rsidRPr="00E00086">
              <w:rPr>
                <w:rFonts w:ascii="Times New Roman" w:hAnsi="Times New Roman"/>
                <w:sz w:val="18"/>
                <w:lang w:val="sr-Cyrl-RS"/>
              </w:rPr>
              <w:t>Кина</w:t>
            </w:r>
          </w:p>
        </w:tc>
        <w:tc>
          <w:tcPr>
            <w:tcW w:w="556" w:type="pct"/>
            <w:vAlign w:val="center"/>
          </w:tcPr>
          <w:p w14:paraId="597C8570"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5,2</w:t>
            </w:r>
          </w:p>
        </w:tc>
        <w:tc>
          <w:tcPr>
            <w:tcW w:w="556" w:type="pct"/>
            <w:vAlign w:val="center"/>
          </w:tcPr>
          <w:p w14:paraId="1917FF71"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4,8</w:t>
            </w:r>
          </w:p>
        </w:tc>
        <w:tc>
          <w:tcPr>
            <w:tcW w:w="556" w:type="pct"/>
            <w:vAlign w:val="center"/>
          </w:tcPr>
          <w:p w14:paraId="48AF5F27"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4,5</w:t>
            </w:r>
          </w:p>
        </w:tc>
        <w:tc>
          <w:tcPr>
            <w:tcW w:w="556" w:type="pct"/>
            <w:vAlign w:val="center"/>
          </w:tcPr>
          <w:p w14:paraId="0AE2317D"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4,1</w:t>
            </w:r>
          </w:p>
        </w:tc>
        <w:tc>
          <w:tcPr>
            <w:tcW w:w="556" w:type="pct"/>
            <w:vAlign w:val="center"/>
          </w:tcPr>
          <w:p w14:paraId="2291457B"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3,6</w:t>
            </w:r>
          </w:p>
        </w:tc>
      </w:tr>
      <w:tr w:rsidR="0079641B" w:rsidRPr="00E00086" w14:paraId="3346DC4F" w14:textId="77777777" w:rsidTr="00B85411">
        <w:trPr>
          <w:trHeight w:val="190"/>
        </w:trPr>
        <w:tc>
          <w:tcPr>
            <w:tcW w:w="2220" w:type="pct"/>
          </w:tcPr>
          <w:p w14:paraId="73A51B1B" w14:textId="77777777" w:rsidR="0079641B" w:rsidRPr="00E00086" w:rsidRDefault="0079641B" w:rsidP="00B85411">
            <w:pPr>
              <w:ind w:left="615" w:hanging="180"/>
              <w:rPr>
                <w:rFonts w:ascii="Times New Roman" w:hAnsi="Times New Roman"/>
                <w:sz w:val="18"/>
                <w:lang w:val="sr-Cyrl-RS"/>
              </w:rPr>
            </w:pPr>
            <w:r w:rsidRPr="00E00086">
              <w:rPr>
                <w:rFonts w:ascii="Times New Roman" w:hAnsi="Times New Roman"/>
                <w:sz w:val="18"/>
                <w:lang w:val="sr-Cyrl-RS"/>
              </w:rPr>
              <w:t xml:space="preserve">Русија </w:t>
            </w:r>
          </w:p>
        </w:tc>
        <w:tc>
          <w:tcPr>
            <w:tcW w:w="556" w:type="pct"/>
            <w:vAlign w:val="center"/>
          </w:tcPr>
          <w:p w14:paraId="200DD8FD"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3,6</w:t>
            </w:r>
          </w:p>
        </w:tc>
        <w:tc>
          <w:tcPr>
            <w:tcW w:w="556" w:type="pct"/>
            <w:vAlign w:val="center"/>
          </w:tcPr>
          <w:p w14:paraId="4E4A3741"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3,6</w:t>
            </w:r>
          </w:p>
        </w:tc>
        <w:tc>
          <w:tcPr>
            <w:tcW w:w="556" w:type="pct"/>
            <w:vAlign w:val="center"/>
          </w:tcPr>
          <w:p w14:paraId="10368E2F"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1,3</w:t>
            </w:r>
          </w:p>
        </w:tc>
        <w:tc>
          <w:tcPr>
            <w:tcW w:w="556" w:type="pct"/>
            <w:vAlign w:val="center"/>
          </w:tcPr>
          <w:p w14:paraId="17F96530"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1,2</w:t>
            </w:r>
          </w:p>
        </w:tc>
        <w:tc>
          <w:tcPr>
            <w:tcW w:w="556" w:type="pct"/>
            <w:vAlign w:val="center"/>
          </w:tcPr>
          <w:p w14:paraId="55AB9A2F"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1,2</w:t>
            </w:r>
          </w:p>
        </w:tc>
      </w:tr>
      <w:tr w:rsidR="0079641B" w:rsidRPr="00E00086" w14:paraId="767AA710" w14:textId="77777777" w:rsidTr="00B85411">
        <w:trPr>
          <w:trHeight w:val="180"/>
        </w:trPr>
        <w:tc>
          <w:tcPr>
            <w:tcW w:w="2220" w:type="pct"/>
          </w:tcPr>
          <w:p w14:paraId="407E975E" w14:textId="77777777" w:rsidR="0079641B" w:rsidRPr="00E00086" w:rsidRDefault="0079641B" w:rsidP="00B85411">
            <w:pPr>
              <w:ind w:left="345" w:hanging="90"/>
              <w:rPr>
                <w:rFonts w:ascii="Times New Roman" w:hAnsi="Times New Roman"/>
                <w:sz w:val="18"/>
                <w:lang w:val="sr-Cyrl-RS"/>
              </w:rPr>
            </w:pPr>
            <w:r w:rsidRPr="00E00086">
              <w:rPr>
                <w:rFonts w:ascii="Times New Roman" w:hAnsi="Times New Roman"/>
                <w:sz w:val="18"/>
                <w:lang w:val="sr-Cyrl-RS"/>
              </w:rPr>
              <w:t>Раст светске трговине, %</w:t>
            </w:r>
          </w:p>
        </w:tc>
        <w:tc>
          <w:tcPr>
            <w:tcW w:w="556" w:type="pct"/>
            <w:vAlign w:val="center"/>
          </w:tcPr>
          <w:p w14:paraId="5381D4BA"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0,8</w:t>
            </w:r>
          </w:p>
        </w:tc>
        <w:tc>
          <w:tcPr>
            <w:tcW w:w="556" w:type="pct"/>
            <w:vAlign w:val="center"/>
          </w:tcPr>
          <w:p w14:paraId="36CACCC5"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3,1</w:t>
            </w:r>
          </w:p>
        </w:tc>
        <w:tc>
          <w:tcPr>
            <w:tcW w:w="556" w:type="pct"/>
            <w:vAlign w:val="center"/>
          </w:tcPr>
          <w:p w14:paraId="1D1E7C4F"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3,4</w:t>
            </w:r>
          </w:p>
        </w:tc>
        <w:tc>
          <w:tcPr>
            <w:tcW w:w="556" w:type="pct"/>
            <w:vAlign w:val="center"/>
          </w:tcPr>
          <w:p w14:paraId="359394E7"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3,4</w:t>
            </w:r>
          </w:p>
        </w:tc>
        <w:tc>
          <w:tcPr>
            <w:tcW w:w="556" w:type="pct"/>
            <w:vAlign w:val="center"/>
          </w:tcPr>
          <w:p w14:paraId="79C43037"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3,3</w:t>
            </w:r>
          </w:p>
        </w:tc>
      </w:tr>
      <w:tr w:rsidR="0079641B" w:rsidRPr="00E00086" w14:paraId="79D60F78" w14:textId="77777777" w:rsidTr="00B85411">
        <w:trPr>
          <w:trHeight w:val="190"/>
        </w:trPr>
        <w:tc>
          <w:tcPr>
            <w:tcW w:w="2220" w:type="pct"/>
            <w:shd w:val="clear" w:color="auto" w:fill="EEECE1" w:themeFill="background2"/>
          </w:tcPr>
          <w:p w14:paraId="5A67FF08" w14:textId="77777777" w:rsidR="0079641B" w:rsidRPr="00E00086" w:rsidRDefault="0079641B" w:rsidP="00B85411">
            <w:pPr>
              <w:rPr>
                <w:rFonts w:ascii="Times New Roman" w:hAnsi="Times New Roman"/>
                <w:sz w:val="18"/>
                <w:lang w:val="sr-Cyrl-RS"/>
              </w:rPr>
            </w:pPr>
            <w:r w:rsidRPr="00E00086">
              <w:rPr>
                <w:rFonts w:ascii="Times New Roman" w:hAnsi="Times New Roman"/>
                <w:sz w:val="18"/>
                <w:lang w:val="sr-Cyrl-RS"/>
              </w:rPr>
              <w:t>Стопа незапослености, %</w:t>
            </w:r>
          </w:p>
        </w:tc>
        <w:tc>
          <w:tcPr>
            <w:tcW w:w="556" w:type="pct"/>
            <w:shd w:val="clear" w:color="auto" w:fill="EEECE1" w:themeFill="background2"/>
          </w:tcPr>
          <w:p w14:paraId="62AFB73C" w14:textId="77777777" w:rsidR="0079641B" w:rsidRPr="00E00086" w:rsidRDefault="0079641B" w:rsidP="00B85411">
            <w:pPr>
              <w:rPr>
                <w:rFonts w:ascii="Times New Roman" w:hAnsi="Times New Roman"/>
                <w:sz w:val="18"/>
                <w:szCs w:val="18"/>
                <w:lang w:val="sr-Cyrl-RS"/>
              </w:rPr>
            </w:pPr>
          </w:p>
        </w:tc>
        <w:tc>
          <w:tcPr>
            <w:tcW w:w="556" w:type="pct"/>
            <w:shd w:val="clear" w:color="auto" w:fill="EEECE1" w:themeFill="background2"/>
          </w:tcPr>
          <w:p w14:paraId="0A157721" w14:textId="77777777" w:rsidR="0079641B" w:rsidRPr="00E00086" w:rsidRDefault="0079641B" w:rsidP="00B85411">
            <w:pPr>
              <w:rPr>
                <w:rFonts w:ascii="Times New Roman" w:hAnsi="Times New Roman"/>
                <w:sz w:val="18"/>
                <w:szCs w:val="18"/>
                <w:lang w:val="sr-Cyrl-RS"/>
              </w:rPr>
            </w:pPr>
          </w:p>
        </w:tc>
        <w:tc>
          <w:tcPr>
            <w:tcW w:w="556" w:type="pct"/>
            <w:shd w:val="clear" w:color="auto" w:fill="EEECE1" w:themeFill="background2"/>
          </w:tcPr>
          <w:p w14:paraId="7487E9E7" w14:textId="77777777" w:rsidR="0079641B" w:rsidRPr="00E00086" w:rsidRDefault="0079641B" w:rsidP="00B85411">
            <w:pPr>
              <w:rPr>
                <w:rFonts w:ascii="Times New Roman" w:hAnsi="Times New Roman"/>
                <w:sz w:val="18"/>
                <w:szCs w:val="18"/>
                <w:lang w:val="sr-Cyrl-RS"/>
              </w:rPr>
            </w:pPr>
          </w:p>
        </w:tc>
        <w:tc>
          <w:tcPr>
            <w:tcW w:w="556" w:type="pct"/>
            <w:shd w:val="clear" w:color="auto" w:fill="EEECE1" w:themeFill="background2"/>
          </w:tcPr>
          <w:p w14:paraId="1D25369C" w14:textId="77777777" w:rsidR="0079641B" w:rsidRPr="00E00086" w:rsidRDefault="0079641B" w:rsidP="00B85411">
            <w:pPr>
              <w:rPr>
                <w:rFonts w:ascii="Times New Roman" w:hAnsi="Times New Roman"/>
                <w:sz w:val="18"/>
                <w:szCs w:val="18"/>
                <w:lang w:val="sr-Cyrl-RS"/>
              </w:rPr>
            </w:pPr>
          </w:p>
        </w:tc>
        <w:tc>
          <w:tcPr>
            <w:tcW w:w="556" w:type="pct"/>
            <w:shd w:val="clear" w:color="auto" w:fill="EEECE1" w:themeFill="background2"/>
          </w:tcPr>
          <w:p w14:paraId="37ACC388" w14:textId="77777777" w:rsidR="0079641B" w:rsidRPr="00E00086" w:rsidRDefault="0079641B" w:rsidP="00B85411">
            <w:pPr>
              <w:rPr>
                <w:rFonts w:ascii="Times New Roman" w:hAnsi="Times New Roman"/>
                <w:sz w:val="18"/>
                <w:szCs w:val="18"/>
                <w:lang w:val="sr-Cyrl-RS"/>
              </w:rPr>
            </w:pPr>
          </w:p>
        </w:tc>
      </w:tr>
      <w:tr w:rsidR="0079641B" w:rsidRPr="00E00086" w14:paraId="7C09E337" w14:textId="77777777" w:rsidTr="00B85411">
        <w:trPr>
          <w:trHeight w:val="190"/>
        </w:trPr>
        <w:tc>
          <w:tcPr>
            <w:tcW w:w="2220" w:type="pct"/>
          </w:tcPr>
          <w:p w14:paraId="241C7158" w14:textId="77777777" w:rsidR="0079641B" w:rsidRPr="00E00086" w:rsidRDefault="0079641B" w:rsidP="00B85411">
            <w:pPr>
              <w:ind w:left="440" w:hanging="180"/>
              <w:rPr>
                <w:rFonts w:ascii="Times New Roman" w:hAnsi="Times New Roman"/>
                <w:sz w:val="18"/>
                <w:lang w:val="sr-Cyrl-RS"/>
              </w:rPr>
            </w:pPr>
            <w:r w:rsidRPr="00E00086">
              <w:rPr>
                <w:rFonts w:ascii="Times New Roman" w:hAnsi="Times New Roman"/>
                <w:sz w:val="18"/>
                <w:lang w:val="sr-Cyrl-RS"/>
              </w:rPr>
              <w:t>Еврозона</w:t>
            </w:r>
          </w:p>
        </w:tc>
        <w:tc>
          <w:tcPr>
            <w:tcW w:w="556" w:type="pct"/>
            <w:vAlign w:val="center"/>
          </w:tcPr>
          <w:p w14:paraId="72351575"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6,6</w:t>
            </w:r>
          </w:p>
        </w:tc>
        <w:tc>
          <w:tcPr>
            <w:tcW w:w="556" w:type="pct"/>
            <w:vAlign w:val="center"/>
          </w:tcPr>
          <w:p w14:paraId="79851732"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6,5</w:t>
            </w:r>
          </w:p>
        </w:tc>
        <w:tc>
          <w:tcPr>
            <w:tcW w:w="556" w:type="pct"/>
            <w:vAlign w:val="center"/>
          </w:tcPr>
          <w:p w14:paraId="01D7D660"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6,4</w:t>
            </w:r>
          </w:p>
        </w:tc>
        <w:tc>
          <w:tcPr>
            <w:tcW w:w="556" w:type="pct"/>
            <w:vAlign w:val="center"/>
          </w:tcPr>
          <w:p w14:paraId="5047C211"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6,3</w:t>
            </w:r>
          </w:p>
        </w:tc>
        <w:tc>
          <w:tcPr>
            <w:tcW w:w="556" w:type="pct"/>
            <w:vAlign w:val="center"/>
          </w:tcPr>
          <w:p w14:paraId="6BECF1EC"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6,3</w:t>
            </w:r>
          </w:p>
        </w:tc>
      </w:tr>
      <w:tr w:rsidR="0079641B" w:rsidRPr="00E00086" w14:paraId="13583300" w14:textId="77777777" w:rsidTr="00B85411">
        <w:trPr>
          <w:trHeight w:val="180"/>
        </w:trPr>
        <w:tc>
          <w:tcPr>
            <w:tcW w:w="2220" w:type="pct"/>
          </w:tcPr>
          <w:p w14:paraId="225EB82F" w14:textId="77777777" w:rsidR="0079641B" w:rsidRPr="00E00086" w:rsidRDefault="0079641B" w:rsidP="00B85411">
            <w:pPr>
              <w:ind w:left="440" w:hanging="180"/>
              <w:rPr>
                <w:rFonts w:ascii="Times New Roman" w:hAnsi="Times New Roman"/>
                <w:sz w:val="18"/>
                <w:lang w:val="sr-Cyrl-RS"/>
              </w:rPr>
            </w:pPr>
            <w:r w:rsidRPr="00E00086">
              <w:rPr>
                <w:rFonts w:ascii="Times New Roman" w:hAnsi="Times New Roman"/>
                <w:sz w:val="18"/>
                <w:lang w:val="sr-Cyrl-RS"/>
              </w:rPr>
              <w:t>САД</w:t>
            </w:r>
          </w:p>
        </w:tc>
        <w:tc>
          <w:tcPr>
            <w:tcW w:w="556" w:type="pct"/>
            <w:vAlign w:val="center"/>
          </w:tcPr>
          <w:p w14:paraId="26CC98A6"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4,1</w:t>
            </w:r>
          </w:p>
        </w:tc>
        <w:tc>
          <w:tcPr>
            <w:tcW w:w="556" w:type="pct"/>
            <w:vAlign w:val="center"/>
          </w:tcPr>
          <w:p w14:paraId="1208ED47"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3,0</w:t>
            </w:r>
          </w:p>
        </w:tc>
        <w:tc>
          <w:tcPr>
            <w:tcW w:w="556" w:type="pct"/>
            <w:vAlign w:val="center"/>
          </w:tcPr>
          <w:p w14:paraId="7B836F84"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1,9</w:t>
            </w:r>
          </w:p>
        </w:tc>
        <w:tc>
          <w:tcPr>
            <w:tcW w:w="556" w:type="pct"/>
            <w:vAlign w:val="center"/>
          </w:tcPr>
          <w:p w14:paraId="7C5A1A07"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2,1</w:t>
            </w:r>
          </w:p>
        </w:tc>
        <w:tc>
          <w:tcPr>
            <w:tcW w:w="556" w:type="pct"/>
            <w:vAlign w:val="center"/>
          </w:tcPr>
          <w:p w14:paraId="27A58125"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2,1</w:t>
            </w:r>
          </w:p>
        </w:tc>
      </w:tr>
      <w:tr w:rsidR="0079641B" w:rsidRPr="00E00086" w14:paraId="08240901" w14:textId="77777777" w:rsidTr="00B85411">
        <w:trPr>
          <w:trHeight w:val="190"/>
        </w:trPr>
        <w:tc>
          <w:tcPr>
            <w:tcW w:w="2220" w:type="pct"/>
            <w:shd w:val="clear" w:color="auto" w:fill="EEECE1" w:themeFill="background2"/>
          </w:tcPr>
          <w:p w14:paraId="39A93036" w14:textId="77777777" w:rsidR="0079641B" w:rsidRPr="00E00086" w:rsidRDefault="0079641B" w:rsidP="00B85411">
            <w:pPr>
              <w:rPr>
                <w:rFonts w:ascii="Times New Roman" w:hAnsi="Times New Roman"/>
                <w:sz w:val="18"/>
                <w:lang w:val="sr-Cyrl-RS"/>
              </w:rPr>
            </w:pPr>
            <w:r w:rsidRPr="00E00086">
              <w:rPr>
                <w:rFonts w:ascii="Times New Roman" w:hAnsi="Times New Roman"/>
                <w:sz w:val="18"/>
                <w:lang w:val="sr-Cyrl-RS"/>
              </w:rPr>
              <w:t>Потрошачке цене, просек периода, %</w:t>
            </w:r>
          </w:p>
        </w:tc>
        <w:tc>
          <w:tcPr>
            <w:tcW w:w="556" w:type="pct"/>
            <w:shd w:val="clear" w:color="auto" w:fill="EEECE1" w:themeFill="background2"/>
          </w:tcPr>
          <w:p w14:paraId="2AAB5DB6" w14:textId="77777777" w:rsidR="0079641B" w:rsidRPr="00E00086" w:rsidRDefault="0079641B" w:rsidP="00B85411">
            <w:pPr>
              <w:rPr>
                <w:rFonts w:ascii="Times New Roman" w:hAnsi="Times New Roman"/>
                <w:sz w:val="18"/>
                <w:szCs w:val="18"/>
                <w:lang w:val="sr-Cyrl-RS"/>
              </w:rPr>
            </w:pPr>
          </w:p>
        </w:tc>
        <w:tc>
          <w:tcPr>
            <w:tcW w:w="556" w:type="pct"/>
            <w:shd w:val="clear" w:color="auto" w:fill="EEECE1" w:themeFill="background2"/>
          </w:tcPr>
          <w:p w14:paraId="0B36DDA5" w14:textId="77777777" w:rsidR="0079641B" w:rsidRPr="00E00086" w:rsidRDefault="0079641B" w:rsidP="00B85411">
            <w:pPr>
              <w:rPr>
                <w:rFonts w:ascii="Times New Roman" w:hAnsi="Times New Roman"/>
                <w:sz w:val="18"/>
                <w:szCs w:val="18"/>
                <w:lang w:val="sr-Cyrl-RS"/>
              </w:rPr>
            </w:pPr>
          </w:p>
        </w:tc>
        <w:tc>
          <w:tcPr>
            <w:tcW w:w="556" w:type="pct"/>
            <w:shd w:val="clear" w:color="auto" w:fill="EEECE1" w:themeFill="background2"/>
          </w:tcPr>
          <w:p w14:paraId="52E1C434" w14:textId="77777777" w:rsidR="0079641B" w:rsidRPr="00E00086" w:rsidRDefault="0079641B" w:rsidP="00B85411">
            <w:pPr>
              <w:rPr>
                <w:rFonts w:ascii="Times New Roman" w:hAnsi="Times New Roman"/>
                <w:sz w:val="18"/>
                <w:szCs w:val="18"/>
                <w:lang w:val="sr-Cyrl-RS"/>
              </w:rPr>
            </w:pPr>
          </w:p>
        </w:tc>
        <w:tc>
          <w:tcPr>
            <w:tcW w:w="556" w:type="pct"/>
            <w:shd w:val="clear" w:color="auto" w:fill="EEECE1" w:themeFill="background2"/>
          </w:tcPr>
          <w:p w14:paraId="3A30E0BF" w14:textId="77777777" w:rsidR="0079641B" w:rsidRPr="00E00086" w:rsidRDefault="0079641B" w:rsidP="00B85411">
            <w:pPr>
              <w:rPr>
                <w:rFonts w:ascii="Times New Roman" w:hAnsi="Times New Roman"/>
                <w:sz w:val="18"/>
                <w:szCs w:val="18"/>
                <w:lang w:val="sr-Cyrl-RS"/>
              </w:rPr>
            </w:pPr>
          </w:p>
        </w:tc>
        <w:tc>
          <w:tcPr>
            <w:tcW w:w="556" w:type="pct"/>
            <w:shd w:val="clear" w:color="auto" w:fill="EEECE1" w:themeFill="background2"/>
          </w:tcPr>
          <w:p w14:paraId="002AE1C6" w14:textId="77777777" w:rsidR="0079641B" w:rsidRPr="00E00086" w:rsidRDefault="0079641B" w:rsidP="00B85411">
            <w:pPr>
              <w:rPr>
                <w:rFonts w:ascii="Times New Roman" w:hAnsi="Times New Roman"/>
                <w:sz w:val="18"/>
                <w:szCs w:val="18"/>
                <w:lang w:val="sr-Cyrl-RS"/>
              </w:rPr>
            </w:pPr>
          </w:p>
        </w:tc>
      </w:tr>
      <w:tr w:rsidR="0079641B" w:rsidRPr="00E00086" w14:paraId="15F7BBC4" w14:textId="77777777" w:rsidTr="00B85411">
        <w:trPr>
          <w:trHeight w:val="180"/>
        </w:trPr>
        <w:tc>
          <w:tcPr>
            <w:tcW w:w="2220" w:type="pct"/>
          </w:tcPr>
          <w:p w14:paraId="697A14F3" w14:textId="77777777" w:rsidR="0079641B" w:rsidRPr="00E00086" w:rsidRDefault="0079641B" w:rsidP="00B85411">
            <w:pPr>
              <w:ind w:left="350" w:hanging="90"/>
              <w:rPr>
                <w:rFonts w:ascii="Times New Roman" w:hAnsi="Times New Roman"/>
                <w:sz w:val="18"/>
                <w:lang w:val="sr-Cyrl-RS"/>
              </w:rPr>
            </w:pPr>
            <w:r w:rsidRPr="00E00086">
              <w:rPr>
                <w:rFonts w:ascii="Times New Roman" w:hAnsi="Times New Roman"/>
                <w:sz w:val="18"/>
                <w:lang w:val="sr-Cyrl-RS"/>
              </w:rPr>
              <w:t>Еврозона</w:t>
            </w:r>
          </w:p>
        </w:tc>
        <w:tc>
          <w:tcPr>
            <w:tcW w:w="556" w:type="pct"/>
            <w:vAlign w:val="center"/>
          </w:tcPr>
          <w:p w14:paraId="0B828F3B"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5,4</w:t>
            </w:r>
          </w:p>
        </w:tc>
        <w:tc>
          <w:tcPr>
            <w:tcW w:w="556" w:type="pct"/>
            <w:vAlign w:val="center"/>
          </w:tcPr>
          <w:p w14:paraId="2ABD7046"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2,4</w:t>
            </w:r>
          </w:p>
        </w:tc>
        <w:tc>
          <w:tcPr>
            <w:tcW w:w="556" w:type="pct"/>
            <w:vAlign w:val="center"/>
          </w:tcPr>
          <w:p w14:paraId="4088FCDB"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2,0</w:t>
            </w:r>
          </w:p>
        </w:tc>
        <w:tc>
          <w:tcPr>
            <w:tcW w:w="556" w:type="pct"/>
            <w:vAlign w:val="center"/>
          </w:tcPr>
          <w:p w14:paraId="625925B6"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2,0</w:t>
            </w:r>
          </w:p>
        </w:tc>
        <w:tc>
          <w:tcPr>
            <w:tcW w:w="556" w:type="pct"/>
            <w:vAlign w:val="center"/>
          </w:tcPr>
          <w:p w14:paraId="1108B440"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1,9</w:t>
            </w:r>
          </w:p>
        </w:tc>
      </w:tr>
      <w:tr w:rsidR="0079641B" w:rsidRPr="00E00086" w14:paraId="41D47149" w14:textId="77777777" w:rsidTr="00B85411">
        <w:trPr>
          <w:trHeight w:val="190"/>
        </w:trPr>
        <w:tc>
          <w:tcPr>
            <w:tcW w:w="2220" w:type="pct"/>
          </w:tcPr>
          <w:p w14:paraId="5BEB10BD" w14:textId="77777777" w:rsidR="0079641B" w:rsidRPr="00E00086" w:rsidRDefault="0079641B" w:rsidP="00B85411">
            <w:pPr>
              <w:ind w:left="350" w:hanging="90"/>
              <w:rPr>
                <w:rFonts w:ascii="Times New Roman" w:hAnsi="Times New Roman"/>
                <w:sz w:val="18"/>
                <w:lang w:val="sr-Cyrl-RS"/>
              </w:rPr>
            </w:pPr>
            <w:r w:rsidRPr="00E00086">
              <w:rPr>
                <w:rFonts w:ascii="Times New Roman" w:hAnsi="Times New Roman"/>
                <w:sz w:val="18"/>
                <w:lang w:val="sr-Cyrl-RS"/>
              </w:rPr>
              <w:t>Развијене економије</w:t>
            </w:r>
          </w:p>
        </w:tc>
        <w:tc>
          <w:tcPr>
            <w:tcW w:w="556" w:type="pct"/>
            <w:vAlign w:val="center"/>
          </w:tcPr>
          <w:p w14:paraId="63EE07E3"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4,6</w:t>
            </w:r>
          </w:p>
        </w:tc>
        <w:tc>
          <w:tcPr>
            <w:tcW w:w="556" w:type="pct"/>
            <w:vAlign w:val="center"/>
          </w:tcPr>
          <w:p w14:paraId="3DB17884"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2,6</w:t>
            </w:r>
          </w:p>
        </w:tc>
        <w:tc>
          <w:tcPr>
            <w:tcW w:w="556" w:type="pct"/>
            <w:vAlign w:val="center"/>
          </w:tcPr>
          <w:p w14:paraId="5C692CC1"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2,0</w:t>
            </w:r>
          </w:p>
        </w:tc>
        <w:tc>
          <w:tcPr>
            <w:tcW w:w="556" w:type="pct"/>
            <w:vAlign w:val="center"/>
          </w:tcPr>
          <w:p w14:paraId="49E6C8EC"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2,0</w:t>
            </w:r>
          </w:p>
        </w:tc>
        <w:tc>
          <w:tcPr>
            <w:tcW w:w="556" w:type="pct"/>
            <w:vAlign w:val="center"/>
          </w:tcPr>
          <w:p w14:paraId="35B6D349"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2,0</w:t>
            </w:r>
          </w:p>
        </w:tc>
      </w:tr>
      <w:tr w:rsidR="0079641B" w:rsidRPr="00E00086" w14:paraId="6E493107" w14:textId="77777777" w:rsidTr="00B85411">
        <w:trPr>
          <w:trHeight w:val="70"/>
        </w:trPr>
        <w:tc>
          <w:tcPr>
            <w:tcW w:w="2220" w:type="pct"/>
          </w:tcPr>
          <w:p w14:paraId="0E0AC83A" w14:textId="77777777" w:rsidR="0079641B" w:rsidRPr="00E00086" w:rsidRDefault="0079641B" w:rsidP="00B85411">
            <w:pPr>
              <w:ind w:left="350" w:hanging="90"/>
              <w:rPr>
                <w:rFonts w:ascii="Times New Roman" w:hAnsi="Times New Roman"/>
                <w:sz w:val="18"/>
                <w:lang w:val="sr-Cyrl-RS"/>
              </w:rPr>
            </w:pPr>
            <w:r w:rsidRPr="00E00086">
              <w:rPr>
                <w:rFonts w:ascii="Times New Roman" w:hAnsi="Times New Roman"/>
                <w:sz w:val="18"/>
                <w:lang w:val="sr-Cyrl-RS"/>
              </w:rPr>
              <w:t>Земље у успону</w:t>
            </w:r>
          </w:p>
        </w:tc>
        <w:tc>
          <w:tcPr>
            <w:tcW w:w="556" w:type="pct"/>
            <w:vAlign w:val="center"/>
          </w:tcPr>
          <w:p w14:paraId="4EB01038"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8,1</w:t>
            </w:r>
          </w:p>
        </w:tc>
        <w:tc>
          <w:tcPr>
            <w:tcW w:w="556" w:type="pct"/>
            <w:vAlign w:val="center"/>
          </w:tcPr>
          <w:p w14:paraId="536B0232"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7,9</w:t>
            </w:r>
          </w:p>
        </w:tc>
        <w:tc>
          <w:tcPr>
            <w:tcW w:w="556" w:type="pct"/>
            <w:vAlign w:val="center"/>
          </w:tcPr>
          <w:p w14:paraId="4B400770"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eastAsia="en-GB"/>
              </w:rPr>
              <w:t>5,9</w:t>
            </w:r>
          </w:p>
        </w:tc>
        <w:tc>
          <w:tcPr>
            <w:tcW w:w="556" w:type="pct"/>
            <w:vAlign w:val="center"/>
          </w:tcPr>
          <w:p w14:paraId="726A3444"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4,7</w:t>
            </w:r>
          </w:p>
        </w:tc>
        <w:tc>
          <w:tcPr>
            <w:tcW w:w="556" w:type="pct"/>
            <w:vAlign w:val="center"/>
          </w:tcPr>
          <w:p w14:paraId="6F641A13"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4,2</w:t>
            </w:r>
          </w:p>
        </w:tc>
      </w:tr>
      <w:tr w:rsidR="0079641B" w:rsidRPr="00E00086" w14:paraId="1ECC9D72" w14:textId="77777777" w:rsidTr="00B85411">
        <w:trPr>
          <w:trHeight w:val="20"/>
        </w:trPr>
        <w:tc>
          <w:tcPr>
            <w:tcW w:w="2220" w:type="pct"/>
          </w:tcPr>
          <w:p w14:paraId="08EAC991" w14:textId="77777777" w:rsidR="0079641B" w:rsidRPr="00E00086" w:rsidRDefault="0079641B" w:rsidP="00B85411">
            <w:pPr>
              <w:rPr>
                <w:rFonts w:ascii="Times New Roman" w:hAnsi="Times New Roman"/>
                <w:sz w:val="18"/>
                <w:lang w:val="sr-Cyrl-RS"/>
              </w:rPr>
            </w:pPr>
          </w:p>
        </w:tc>
        <w:tc>
          <w:tcPr>
            <w:tcW w:w="556" w:type="pct"/>
            <w:vAlign w:val="center"/>
          </w:tcPr>
          <w:p w14:paraId="32436212" w14:textId="77777777" w:rsidR="0079641B" w:rsidRPr="00E00086" w:rsidRDefault="0079641B" w:rsidP="00B85411">
            <w:pPr>
              <w:rPr>
                <w:rFonts w:ascii="Times New Roman" w:hAnsi="Times New Roman"/>
                <w:sz w:val="18"/>
                <w:szCs w:val="18"/>
                <w:lang w:val="sr-Cyrl-RS"/>
              </w:rPr>
            </w:pPr>
          </w:p>
        </w:tc>
        <w:tc>
          <w:tcPr>
            <w:tcW w:w="556" w:type="pct"/>
            <w:vAlign w:val="center"/>
          </w:tcPr>
          <w:p w14:paraId="5E160E53" w14:textId="77777777" w:rsidR="0079641B" w:rsidRPr="00E00086" w:rsidRDefault="0079641B" w:rsidP="00B85411">
            <w:pPr>
              <w:rPr>
                <w:rFonts w:ascii="Times New Roman" w:hAnsi="Times New Roman"/>
                <w:sz w:val="18"/>
                <w:szCs w:val="18"/>
                <w:lang w:val="sr-Cyrl-RS"/>
              </w:rPr>
            </w:pPr>
          </w:p>
        </w:tc>
        <w:tc>
          <w:tcPr>
            <w:tcW w:w="556" w:type="pct"/>
            <w:vAlign w:val="center"/>
          </w:tcPr>
          <w:p w14:paraId="0F30726D" w14:textId="77777777" w:rsidR="0079641B" w:rsidRPr="00E00086" w:rsidRDefault="0079641B" w:rsidP="00B85411">
            <w:pPr>
              <w:rPr>
                <w:rFonts w:ascii="Times New Roman" w:hAnsi="Times New Roman"/>
                <w:sz w:val="18"/>
                <w:szCs w:val="18"/>
                <w:lang w:val="sr-Cyrl-RS"/>
              </w:rPr>
            </w:pPr>
          </w:p>
        </w:tc>
        <w:tc>
          <w:tcPr>
            <w:tcW w:w="556" w:type="pct"/>
            <w:vAlign w:val="center"/>
          </w:tcPr>
          <w:p w14:paraId="50A28521" w14:textId="77777777" w:rsidR="0079641B" w:rsidRPr="00E00086" w:rsidRDefault="0079641B" w:rsidP="00B85411">
            <w:pPr>
              <w:rPr>
                <w:rFonts w:ascii="Times New Roman" w:hAnsi="Times New Roman"/>
                <w:sz w:val="18"/>
                <w:szCs w:val="18"/>
                <w:lang w:val="sr-Cyrl-RS"/>
              </w:rPr>
            </w:pPr>
          </w:p>
        </w:tc>
        <w:tc>
          <w:tcPr>
            <w:tcW w:w="556" w:type="pct"/>
            <w:vAlign w:val="center"/>
          </w:tcPr>
          <w:p w14:paraId="05DA3269" w14:textId="77777777" w:rsidR="0079641B" w:rsidRPr="00E00086" w:rsidRDefault="0079641B" w:rsidP="00B85411">
            <w:pPr>
              <w:rPr>
                <w:rFonts w:ascii="Times New Roman" w:hAnsi="Times New Roman"/>
                <w:sz w:val="18"/>
                <w:szCs w:val="18"/>
                <w:lang w:val="sr-Cyrl-RS"/>
              </w:rPr>
            </w:pPr>
          </w:p>
        </w:tc>
      </w:tr>
      <w:tr w:rsidR="0079641B" w:rsidRPr="00E00086" w14:paraId="4232C3D3" w14:textId="77777777" w:rsidTr="00B85411">
        <w:trPr>
          <w:trHeight w:val="70"/>
        </w:trPr>
        <w:tc>
          <w:tcPr>
            <w:tcW w:w="2220" w:type="pct"/>
          </w:tcPr>
          <w:p w14:paraId="2AC0D3D7" w14:textId="77777777" w:rsidR="0079641B" w:rsidRPr="00E00086" w:rsidRDefault="0079641B" w:rsidP="00B85411">
            <w:pPr>
              <w:rPr>
                <w:rFonts w:ascii="Times New Roman" w:hAnsi="Times New Roman"/>
                <w:sz w:val="18"/>
                <w:lang w:val="sr-Cyrl-RS"/>
              </w:rPr>
            </w:pPr>
            <w:r w:rsidRPr="00E00086">
              <w:rPr>
                <w:rFonts w:ascii="Times New Roman" w:hAnsi="Times New Roman"/>
                <w:sz w:val="18"/>
                <w:lang w:val="sr-Cyrl-RS"/>
              </w:rPr>
              <w:t>Девизни курс, евро/долар, крај периода</w:t>
            </w:r>
          </w:p>
        </w:tc>
        <w:tc>
          <w:tcPr>
            <w:tcW w:w="556" w:type="pct"/>
            <w:vAlign w:val="center"/>
          </w:tcPr>
          <w:p w14:paraId="428BA623"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1,1</w:t>
            </w:r>
          </w:p>
        </w:tc>
        <w:tc>
          <w:tcPr>
            <w:tcW w:w="556" w:type="pct"/>
            <w:vAlign w:val="center"/>
          </w:tcPr>
          <w:p w14:paraId="02716E0D"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1,1</w:t>
            </w:r>
          </w:p>
        </w:tc>
        <w:tc>
          <w:tcPr>
            <w:tcW w:w="556" w:type="pct"/>
            <w:vAlign w:val="center"/>
          </w:tcPr>
          <w:p w14:paraId="54979A53"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1,1</w:t>
            </w:r>
          </w:p>
        </w:tc>
        <w:tc>
          <w:tcPr>
            <w:tcW w:w="556" w:type="pct"/>
            <w:vAlign w:val="center"/>
          </w:tcPr>
          <w:p w14:paraId="5708456F"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w:t>
            </w:r>
          </w:p>
        </w:tc>
        <w:tc>
          <w:tcPr>
            <w:tcW w:w="556" w:type="pct"/>
            <w:vAlign w:val="center"/>
          </w:tcPr>
          <w:p w14:paraId="735C97A7" w14:textId="77777777" w:rsidR="0079641B" w:rsidRPr="00E00086" w:rsidRDefault="0079641B" w:rsidP="00B85411">
            <w:pPr>
              <w:jc w:val="center"/>
              <w:rPr>
                <w:rFonts w:ascii="Times New Roman" w:hAnsi="Times New Roman"/>
                <w:sz w:val="18"/>
                <w:szCs w:val="18"/>
                <w:lang w:val="sr-Cyrl-RS"/>
              </w:rPr>
            </w:pPr>
            <w:r w:rsidRPr="00E00086">
              <w:rPr>
                <w:rFonts w:ascii="Times New Roman" w:hAnsi="Times New Roman"/>
                <w:sz w:val="18"/>
                <w:szCs w:val="18"/>
                <w:lang w:val="sr-Cyrl-RS"/>
              </w:rPr>
              <w:t>-</w:t>
            </w:r>
          </w:p>
        </w:tc>
      </w:tr>
      <w:tr w:rsidR="0079641B" w:rsidRPr="00E00086" w14:paraId="04EC27D9" w14:textId="77777777" w:rsidTr="00B85411">
        <w:trPr>
          <w:trHeight w:val="135"/>
        </w:trPr>
        <w:tc>
          <w:tcPr>
            <w:tcW w:w="2220" w:type="pct"/>
          </w:tcPr>
          <w:p w14:paraId="308F4DB2" w14:textId="77777777" w:rsidR="0079641B" w:rsidRPr="00E00086" w:rsidRDefault="0079641B" w:rsidP="00B85411">
            <w:pPr>
              <w:rPr>
                <w:rFonts w:ascii="Times New Roman" w:hAnsi="Times New Roman"/>
                <w:sz w:val="18"/>
                <w:lang w:val="sr-Cyrl-RS"/>
              </w:rPr>
            </w:pPr>
            <w:r w:rsidRPr="00E00086">
              <w:rPr>
                <w:rFonts w:ascii="Times New Roman" w:hAnsi="Times New Roman"/>
                <w:sz w:val="18"/>
                <w:lang w:val="sr-Cyrl-RS"/>
              </w:rPr>
              <w:t>Цене житарица, у доларима, годишње промене</w:t>
            </w:r>
            <w:r w:rsidRPr="00E00086">
              <w:rPr>
                <w:rFonts w:ascii="Times New Roman" w:hAnsi="Times New Roman"/>
                <w:sz w:val="18"/>
                <w:vertAlign w:val="superscript"/>
                <w:lang w:val="sr-Cyrl-RS"/>
              </w:rPr>
              <w:t>2</w:t>
            </w:r>
          </w:p>
        </w:tc>
        <w:tc>
          <w:tcPr>
            <w:tcW w:w="556" w:type="pct"/>
            <w:vAlign w:val="center"/>
          </w:tcPr>
          <w:p w14:paraId="04A4698E"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-18,8</w:t>
            </w:r>
          </w:p>
        </w:tc>
        <w:tc>
          <w:tcPr>
            <w:tcW w:w="556" w:type="pct"/>
            <w:vAlign w:val="center"/>
          </w:tcPr>
          <w:p w14:paraId="32720F6E"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-21,7</w:t>
            </w:r>
          </w:p>
        </w:tc>
        <w:tc>
          <w:tcPr>
            <w:tcW w:w="556" w:type="pct"/>
            <w:vAlign w:val="center"/>
          </w:tcPr>
          <w:p w14:paraId="5CC6B431"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-3,6</w:t>
            </w:r>
          </w:p>
        </w:tc>
        <w:tc>
          <w:tcPr>
            <w:tcW w:w="556" w:type="pct"/>
            <w:vAlign w:val="center"/>
          </w:tcPr>
          <w:p w14:paraId="4DFBB5B5"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4,2</w:t>
            </w:r>
          </w:p>
        </w:tc>
        <w:tc>
          <w:tcPr>
            <w:tcW w:w="556" w:type="pct"/>
            <w:vAlign w:val="center"/>
          </w:tcPr>
          <w:p w14:paraId="4C76CEE6"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0,6</w:t>
            </w:r>
          </w:p>
        </w:tc>
      </w:tr>
      <w:tr w:rsidR="0079641B" w:rsidRPr="00E00086" w14:paraId="4D42C8CD" w14:textId="77777777" w:rsidTr="00B85411">
        <w:trPr>
          <w:trHeight w:val="167"/>
        </w:trPr>
        <w:tc>
          <w:tcPr>
            <w:tcW w:w="2220" w:type="pct"/>
          </w:tcPr>
          <w:p w14:paraId="72C15E96" w14:textId="77777777" w:rsidR="0079641B" w:rsidRPr="00E00086" w:rsidRDefault="0079641B" w:rsidP="00B85411">
            <w:pPr>
              <w:rPr>
                <w:rFonts w:ascii="Times New Roman" w:hAnsi="Times New Roman"/>
                <w:sz w:val="18"/>
                <w:lang w:val="sr-Cyrl-RS"/>
              </w:rPr>
            </w:pPr>
            <w:r w:rsidRPr="00E00086">
              <w:rPr>
                <w:rFonts w:ascii="Times New Roman" w:hAnsi="Times New Roman"/>
                <w:sz w:val="18"/>
                <w:lang w:val="sr-Cyrl-RS"/>
              </w:rPr>
              <w:t>Цене метала, у доларима, годишње промене</w:t>
            </w:r>
            <w:r w:rsidRPr="00E00086">
              <w:rPr>
                <w:rFonts w:ascii="Times New Roman" w:hAnsi="Times New Roman"/>
                <w:sz w:val="18"/>
                <w:vertAlign w:val="superscript"/>
                <w:lang w:val="sr-Cyrl-RS"/>
              </w:rPr>
              <w:t>3</w:t>
            </w:r>
          </w:p>
        </w:tc>
        <w:tc>
          <w:tcPr>
            <w:tcW w:w="556" w:type="pct"/>
            <w:vAlign w:val="center"/>
          </w:tcPr>
          <w:p w14:paraId="7F568784"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-2,8</w:t>
            </w:r>
          </w:p>
        </w:tc>
        <w:tc>
          <w:tcPr>
            <w:tcW w:w="556" w:type="pct"/>
            <w:vAlign w:val="center"/>
          </w:tcPr>
          <w:p w14:paraId="3599C9DE"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-0,2</w:t>
            </w:r>
          </w:p>
        </w:tc>
        <w:tc>
          <w:tcPr>
            <w:tcW w:w="556" w:type="pct"/>
            <w:vAlign w:val="center"/>
          </w:tcPr>
          <w:p w14:paraId="67E20750"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-1,9</w:t>
            </w:r>
          </w:p>
        </w:tc>
        <w:tc>
          <w:tcPr>
            <w:tcW w:w="556" w:type="pct"/>
            <w:vAlign w:val="center"/>
          </w:tcPr>
          <w:p w14:paraId="653F74B5"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0,3</w:t>
            </w:r>
          </w:p>
        </w:tc>
        <w:tc>
          <w:tcPr>
            <w:tcW w:w="556" w:type="pct"/>
            <w:vAlign w:val="center"/>
          </w:tcPr>
          <w:p w14:paraId="4E6D2C21"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0,3</w:t>
            </w:r>
          </w:p>
        </w:tc>
      </w:tr>
      <w:tr w:rsidR="0079641B" w:rsidRPr="00E00086" w14:paraId="79E0C5CB" w14:textId="77777777" w:rsidTr="00B85411">
        <w:trPr>
          <w:trHeight w:val="70"/>
        </w:trPr>
        <w:tc>
          <w:tcPr>
            <w:tcW w:w="2220" w:type="pct"/>
          </w:tcPr>
          <w:p w14:paraId="161E4002" w14:textId="77777777" w:rsidR="0079641B" w:rsidRPr="00E00086" w:rsidRDefault="0079641B" w:rsidP="00B85411">
            <w:pPr>
              <w:rPr>
                <w:rFonts w:ascii="Times New Roman" w:hAnsi="Times New Roman"/>
                <w:sz w:val="18"/>
                <w:lang w:val="sr-Cyrl-RS"/>
              </w:rPr>
            </w:pPr>
            <w:r w:rsidRPr="00E00086">
              <w:rPr>
                <w:rFonts w:ascii="Times New Roman" w:hAnsi="Times New Roman"/>
                <w:sz w:val="18"/>
                <w:lang w:val="sr-Cyrl-RS"/>
              </w:rPr>
              <w:t>Цена руде гвожђа, у доларима</w:t>
            </w:r>
            <w:r w:rsidRPr="00E00086">
              <w:rPr>
                <w:rFonts w:ascii="Times New Roman" w:hAnsi="Times New Roman"/>
                <w:sz w:val="18"/>
                <w:vertAlign w:val="superscript"/>
                <w:lang w:val="sr-Cyrl-RS"/>
              </w:rPr>
              <w:t>4</w:t>
            </w:r>
          </w:p>
        </w:tc>
        <w:tc>
          <w:tcPr>
            <w:tcW w:w="556" w:type="pct"/>
            <w:vAlign w:val="center"/>
          </w:tcPr>
          <w:p w14:paraId="218A56E8"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-0,3</w:t>
            </w:r>
          </w:p>
        </w:tc>
        <w:tc>
          <w:tcPr>
            <w:tcW w:w="556" w:type="pct"/>
            <w:vAlign w:val="center"/>
          </w:tcPr>
          <w:p w14:paraId="5334D560"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-7,8</w:t>
            </w:r>
          </w:p>
        </w:tc>
        <w:tc>
          <w:tcPr>
            <w:tcW w:w="556" w:type="pct"/>
            <w:vAlign w:val="center"/>
          </w:tcPr>
          <w:p w14:paraId="2CEAAE93"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-13,9</w:t>
            </w:r>
          </w:p>
        </w:tc>
        <w:tc>
          <w:tcPr>
            <w:tcW w:w="556" w:type="pct"/>
            <w:vAlign w:val="center"/>
          </w:tcPr>
          <w:p w14:paraId="42380A0E"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-3,7</w:t>
            </w:r>
          </w:p>
        </w:tc>
        <w:tc>
          <w:tcPr>
            <w:tcW w:w="556" w:type="pct"/>
            <w:vAlign w:val="center"/>
          </w:tcPr>
          <w:p w14:paraId="7AE68DF4"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-1,5</w:t>
            </w:r>
          </w:p>
        </w:tc>
      </w:tr>
      <w:tr w:rsidR="0079641B" w:rsidRPr="00E00086" w14:paraId="29D6ED57" w14:textId="77777777" w:rsidTr="00B85411">
        <w:trPr>
          <w:trHeight w:val="173"/>
        </w:trPr>
        <w:tc>
          <w:tcPr>
            <w:tcW w:w="2220" w:type="pct"/>
            <w:tcBorders>
              <w:bottom w:val="single" w:sz="4" w:space="0" w:color="002060"/>
            </w:tcBorders>
          </w:tcPr>
          <w:p w14:paraId="3F10FC33" w14:textId="77777777" w:rsidR="0079641B" w:rsidRPr="00E00086" w:rsidRDefault="0079641B" w:rsidP="00B85411">
            <w:pPr>
              <w:rPr>
                <w:rFonts w:ascii="Times New Roman" w:hAnsi="Times New Roman"/>
                <w:sz w:val="18"/>
                <w:lang w:val="sr-Cyrl-RS"/>
              </w:rPr>
            </w:pPr>
            <w:r w:rsidRPr="00E00086">
              <w:rPr>
                <w:rFonts w:ascii="Times New Roman" w:hAnsi="Times New Roman"/>
                <w:sz w:val="18"/>
                <w:lang w:val="sr-Cyrl-RS"/>
              </w:rPr>
              <w:t>Цене нафте, у доларима, годишње промене, %</w:t>
            </w:r>
          </w:p>
        </w:tc>
        <w:tc>
          <w:tcPr>
            <w:tcW w:w="556" w:type="pct"/>
            <w:tcBorders>
              <w:bottom w:val="single" w:sz="4" w:space="0" w:color="002060"/>
            </w:tcBorders>
            <w:vAlign w:val="center"/>
          </w:tcPr>
          <w:p w14:paraId="09A80952"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-16,4</w:t>
            </w:r>
          </w:p>
        </w:tc>
        <w:tc>
          <w:tcPr>
            <w:tcW w:w="556" w:type="pct"/>
            <w:tcBorders>
              <w:bottom w:val="single" w:sz="4" w:space="0" w:color="002060"/>
            </w:tcBorders>
            <w:vAlign w:val="center"/>
          </w:tcPr>
          <w:p w14:paraId="0E7A4BA2"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0,9</w:t>
            </w:r>
          </w:p>
        </w:tc>
        <w:tc>
          <w:tcPr>
            <w:tcW w:w="556" w:type="pct"/>
            <w:tcBorders>
              <w:bottom w:val="single" w:sz="4" w:space="0" w:color="002060"/>
            </w:tcBorders>
            <w:vAlign w:val="center"/>
          </w:tcPr>
          <w:p w14:paraId="04B44C37"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-10,4</w:t>
            </w:r>
          </w:p>
        </w:tc>
        <w:tc>
          <w:tcPr>
            <w:tcW w:w="556" w:type="pct"/>
            <w:tcBorders>
              <w:bottom w:val="single" w:sz="4" w:space="0" w:color="002060"/>
            </w:tcBorders>
            <w:vAlign w:val="center"/>
          </w:tcPr>
          <w:p w14:paraId="13DC7C9A"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-3,6</w:t>
            </w:r>
          </w:p>
        </w:tc>
        <w:tc>
          <w:tcPr>
            <w:tcW w:w="556" w:type="pct"/>
            <w:tcBorders>
              <w:bottom w:val="single" w:sz="4" w:space="0" w:color="002060"/>
            </w:tcBorders>
            <w:vAlign w:val="center"/>
          </w:tcPr>
          <w:p w14:paraId="0CA4D047" w14:textId="77777777" w:rsidR="0079641B" w:rsidRPr="00E00086" w:rsidRDefault="0079641B" w:rsidP="00B85411">
            <w:pPr>
              <w:jc w:val="center"/>
              <w:rPr>
                <w:rFonts w:ascii="Times New Roman" w:hAnsi="Times New Roman"/>
                <w:sz w:val="18"/>
                <w:szCs w:val="18"/>
                <w:lang w:val="sr-Cyrl-RS" w:eastAsia="en-GB"/>
              </w:rPr>
            </w:pPr>
            <w:r w:rsidRPr="00E00086">
              <w:rPr>
                <w:rFonts w:ascii="Times New Roman" w:hAnsi="Times New Roman"/>
                <w:sz w:val="18"/>
                <w:szCs w:val="18"/>
                <w:lang w:val="sr-Cyrl-RS" w:eastAsia="en-GB"/>
              </w:rPr>
              <w:t>-2,4</w:t>
            </w:r>
          </w:p>
        </w:tc>
      </w:tr>
      <w:tr w:rsidR="0079641B" w:rsidRPr="00E00086" w14:paraId="22109432" w14:textId="77777777" w:rsidTr="00B85411">
        <w:trPr>
          <w:trHeight w:val="159"/>
        </w:trPr>
        <w:tc>
          <w:tcPr>
            <w:tcW w:w="5000" w:type="pct"/>
            <w:gridSpan w:val="6"/>
            <w:tcBorders>
              <w:top w:val="single" w:sz="4" w:space="0" w:color="002060"/>
            </w:tcBorders>
          </w:tcPr>
          <w:p w14:paraId="355BE944" w14:textId="77777777" w:rsidR="0079641B" w:rsidRPr="00E00086" w:rsidRDefault="0079641B" w:rsidP="00B85411">
            <w:pPr>
              <w:rPr>
                <w:rFonts w:ascii="Times New Roman" w:hAnsi="Times New Roman"/>
                <w:bCs/>
                <w:sz w:val="16"/>
                <w:szCs w:val="72"/>
                <w:lang w:val="sr-Cyrl-RS"/>
              </w:rPr>
            </w:pPr>
            <w:r w:rsidRPr="00E00086">
              <w:rPr>
                <w:rFonts w:ascii="Times New Roman" w:hAnsi="Times New Roman"/>
                <w:bCs/>
                <w:sz w:val="16"/>
                <w:szCs w:val="72"/>
                <w:lang w:val="sr-Cyrl-RS"/>
              </w:rPr>
              <w:t xml:space="preserve">Извор: ММФ, </w:t>
            </w:r>
            <w:r w:rsidRPr="00E00086">
              <w:rPr>
                <w:rFonts w:ascii="Times New Roman" w:hAnsi="Times New Roman"/>
                <w:bCs/>
                <w:i/>
                <w:sz w:val="16"/>
                <w:szCs w:val="72"/>
                <w:lang w:val="sr-Cyrl-RS"/>
              </w:rPr>
              <w:t>World Economic Outlook</w:t>
            </w:r>
            <w:r w:rsidRPr="00E00086">
              <w:rPr>
                <w:rFonts w:ascii="Times New Roman" w:hAnsi="Times New Roman"/>
                <w:bCs/>
                <w:sz w:val="16"/>
                <w:szCs w:val="72"/>
                <w:lang w:val="sr-Cyrl-RS"/>
              </w:rPr>
              <w:t>, октобар 2024.</w:t>
            </w:r>
          </w:p>
        </w:tc>
      </w:tr>
      <w:tr w:rsidR="0079641B" w:rsidRPr="00E00086" w14:paraId="096527D7" w14:textId="77777777" w:rsidTr="00B85411">
        <w:trPr>
          <w:trHeight w:val="535"/>
        </w:trPr>
        <w:tc>
          <w:tcPr>
            <w:tcW w:w="5000" w:type="pct"/>
            <w:gridSpan w:val="6"/>
          </w:tcPr>
          <w:p w14:paraId="7112085F" w14:textId="77777777" w:rsidR="0079641B" w:rsidRPr="00E00086" w:rsidRDefault="0079641B" w:rsidP="00B85411">
            <w:pPr>
              <w:rPr>
                <w:rFonts w:ascii="Times New Roman" w:hAnsi="Times New Roman"/>
                <w:bCs/>
                <w:sz w:val="16"/>
                <w:szCs w:val="72"/>
                <w:lang w:val="sr-Cyrl-RS"/>
              </w:rPr>
            </w:pPr>
            <w:r w:rsidRPr="00E00086">
              <w:rPr>
                <w:rFonts w:ascii="Times New Roman" w:hAnsi="Times New Roman"/>
                <w:bCs/>
                <w:sz w:val="16"/>
                <w:szCs w:val="72"/>
                <w:vertAlign w:val="superscript"/>
                <w:lang w:val="sr-Cyrl-RS"/>
              </w:rPr>
              <w:t>1</w:t>
            </w:r>
            <w:r w:rsidRPr="00E00086">
              <w:rPr>
                <w:rFonts w:ascii="Times New Roman" w:hAnsi="Times New Roman"/>
                <w:bCs/>
                <w:sz w:val="16"/>
                <w:szCs w:val="72"/>
                <w:lang w:val="sr-Cyrl-RS"/>
              </w:rPr>
              <w:t xml:space="preserve"> Светски БДП израчунат је према паритету куповне моћи.</w:t>
            </w:r>
          </w:p>
          <w:p w14:paraId="5BD805EB" w14:textId="77777777" w:rsidR="0079641B" w:rsidRPr="00E00086" w:rsidRDefault="0079641B" w:rsidP="00B85411">
            <w:pPr>
              <w:rPr>
                <w:rFonts w:ascii="Times New Roman" w:hAnsi="Times New Roman"/>
                <w:bCs/>
                <w:sz w:val="16"/>
                <w:szCs w:val="72"/>
                <w:lang w:val="sr-Cyrl-RS"/>
              </w:rPr>
            </w:pPr>
            <w:r w:rsidRPr="00E00086">
              <w:rPr>
                <w:rFonts w:ascii="Times New Roman" w:hAnsi="Times New Roman"/>
                <w:bCs/>
                <w:sz w:val="16"/>
                <w:szCs w:val="72"/>
                <w:vertAlign w:val="superscript"/>
                <w:lang w:val="sr-Cyrl-RS"/>
              </w:rPr>
              <w:t>2</w:t>
            </w:r>
            <w:r w:rsidRPr="00E00086">
              <w:rPr>
                <w:rFonts w:ascii="Times New Roman" w:hAnsi="Times New Roman"/>
                <w:bCs/>
                <w:sz w:val="16"/>
                <w:szCs w:val="72"/>
                <w:lang w:val="sr-Cyrl-RS"/>
              </w:rPr>
              <w:t xml:space="preserve"> Цена житарица добијена као пондерисани просек цена пшенице, кукуруза, соје, пиринча и јечма.</w:t>
            </w:r>
          </w:p>
          <w:p w14:paraId="0967E74F" w14:textId="77777777" w:rsidR="0079641B" w:rsidRPr="00E00086" w:rsidRDefault="0079641B" w:rsidP="00B85411">
            <w:pPr>
              <w:rPr>
                <w:rFonts w:ascii="Times New Roman" w:hAnsi="Times New Roman"/>
                <w:bCs/>
                <w:sz w:val="16"/>
                <w:szCs w:val="72"/>
                <w:lang w:val="sr-Cyrl-RS"/>
              </w:rPr>
            </w:pPr>
            <w:r w:rsidRPr="00E00086">
              <w:rPr>
                <w:rFonts w:ascii="Times New Roman" w:hAnsi="Times New Roman"/>
                <w:bCs/>
                <w:sz w:val="16"/>
                <w:szCs w:val="72"/>
                <w:vertAlign w:val="superscript"/>
                <w:lang w:val="sr-Cyrl-RS"/>
              </w:rPr>
              <w:t>3</w:t>
            </w:r>
            <w:r w:rsidRPr="00E00086">
              <w:rPr>
                <w:rFonts w:ascii="Times New Roman" w:hAnsi="Times New Roman"/>
                <w:bCs/>
                <w:sz w:val="16"/>
                <w:szCs w:val="72"/>
                <w:lang w:val="sr-Cyrl-RS"/>
              </w:rPr>
              <w:t xml:space="preserve"> Цена метала добијена као пондерисани просек цена бакра, алуминијума, руде гвожђа, калаја, никла, цинка, олова и уранијума.</w:t>
            </w:r>
          </w:p>
          <w:p w14:paraId="72217A7E" w14:textId="77777777" w:rsidR="0079641B" w:rsidRPr="00E00086" w:rsidRDefault="0079641B" w:rsidP="00B85411">
            <w:pPr>
              <w:rPr>
                <w:rFonts w:ascii="Times New Roman" w:hAnsi="Times New Roman"/>
                <w:bCs/>
                <w:sz w:val="16"/>
                <w:szCs w:val="72"/>
                <w:vertAlign w:val="superscript"/>
                <w:lang w:val="sr-Cyrl-RS"/>
              </w:rPr>
            </w:pPr>
            <w:r w:rsidRPr="00E00086">
              <w:rPr>
                <w:rFonts w:ascii="Times New Roman" w:hAnsi="Times New Roman"/>
                <w:bCs/>
                <w:sz w:val="16"/>
                <w:szCs w:val="72"/>
                <w:vertAlign w:val="superscript"/>
                <w:lang w:val="sr-Cyrl-RS"/>
              </w:rPr>
              <w:t>4</w:t>
            </w:r>
            <w:r w:rsidRPr="00E00086">
              <w:rPr>
                <w:rFonts w:ascii="Times New Roman" w:hAnsi="Times New Roman"/>
                <w:bCs/>
                <w:sz w:val="16"/>
                <w:szCs w:val="72"/>
                <w:lang w:val="sr-Cyrl-RS"/>
              </w:rPr>
              <w:t xml:space="preserve"> Цена руде гвожђа (садржај гвожђа од 62%) за увоз у Кини, лука Тиан Јан, у доларима по метричкој тони.</w:t>
            </w:r>
          </w:p>
        </w:tc>
      </w:tr>
    </w:tbl>
    <w:p w14:paraId="08B62486"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szCs w:val="24"/>
          <w:lang w:val="sr-Cyrl-RS"/>
        </w:rPr>
        <w:t>Очекује се успоравање глобалне инфлације са 6,7% просечно годишње у 2023. години на 5,8% у 2024. години и 4,3% у 2025. години. Успоравање глобалне инфлације у 2024. и 2025. години је засновано на смањењу базне инфлације као резултат ефектуирања рестриктивних мера монетарне политике из претходног периода, за разлику од ситуације из 2023. године, када је укупна инфлација пала углавном због нижих цена енергената. Претпоставља се да ће дезинфлација бити бржа у развијеним економијама са смањењем од 2,0 п.п. у 2024. години и стабилизацијом на нивоу од око 2,0% у 2025. години. Нешто спорија дезинфлација очекује се код земаља у развоју, где ће инфлација благо успорити са 8,1% у 2023. години на 7,9% у 2024. години, а затим следи нешто већи пад у 2025. години на 5,9%. Приметна је и велика разлика међу групама земаља у развоју, па тако стопа инфлације варира од 2,1% за регион Азије услед благовременог пооштравања монетарне политике и контроле цена у многим азијским земљама, до 18,1% у региону Субсахарске Африке.</w:t>
      </w:r>
    </w:p>
    <w:p w14:paraId="4EA3CBBF"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szCs w:val="24"/>
          <w:lang w:val="sr-Cyrl-RS"/>
        </w:rPr>
        <w:t xml:space="preserve">Према септембарским пројекцијама ЕЦБ, раст привреде еврозоне у 2024. години износиће 0,8%, што је блага ревизија наниже за 0,1 п.п. у односу на очекивања из јуна. Ово смањење последица је преносног ефекта, односно слабије од претходно очекиване динамике економске активности током друге половине претходне године, као и споријег раста приватне потрошње и инвестиција у 2024. години од претходно процењеног. Очекује се да ће услови финансирања, нарочито високе каматне стопе, наставити да имају негативан утицај на раст, али ће он постепено слабити током хоризонта пројекције, тако да се очекује убрзање економског раста на 1,3% у 2025. односно 1,6% у 2026. години. Упркос нешто споријем расту приватне потрошње у првој половини 2024. године и даље се очекује да ће она бити главни покретач средњорочног раста као резултат снажног раст плата и успоравања инфлације. Предвиђено је да ће стамбене инвестиције забележити пад током 2024. године, пре него што у 2025. години дође до опоравка као резултат постепеног ишчезавања ефеката пооштрених услова финансирања и наставка реалног раста расположивог дохотка становништва. Пословне инвестиције ће убрзати темпо раста током </w:t>
      </w:r>
      <w:r w:rsidRPr="00E00086">
        <w:rPr>
          <w:rFonts w:ascii="Times New Roman" w:hAnsi="Times New Roman"/>
          <w:bCs/>
          <w:szCs w:val="24"/>
          <w:lang w:val="sr-Cyrl-RS"/>
        </w:rPr>
        <w:lastRenderedPageBreak/>
        <w:t>хоризонта пројекције услед побољшања потражње, слабљења негативног утицаја услова финансирања и пораста зелених и дигиталних инвестиција, као и позитивних ефеката у оквиру програма Next Generation EU. Фактори који утичу на конкурентност еврозоне, попут апресијације евра и већих трошкова производње изазваних растом цена енергената, и даље отежавају извоз еврозоне упркос благој ревизији спољне тражње навише. Очекује се да ће тек почетком 2025. доћи до постепеног опоравка извоза, али по стопама нижим од историјског просека. Истовремено, очекује се умерен раст увоза што ће за резултат имати углавном неутралан допринос нето извоза током пројекцијског периода.</w:t>
      </w:r>
    </w:p>
    <w:p w14:paraId="7CCC3886"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szCs w:val="24"/>
          <w:lang w:val="sr-Cyrl-RS"/>
        </w:rPr>
        <w:t>Просечна инфлација у 2024. години износиће 2,5%, што је ниже у поређењу са претходним годинама, али и даље изнад дугорочног циља од 2,0%. У 2025. години инфлација би требало да опадне на 2,2%, а до 2026. на 1.9%, што је у складу са претходним пројекцијама. Главни фактори који доприносе успоравању инфлације обухватају смањење цена енергената, као и ефекте пооштрене монетарне политике из претходног периода. Иако раст цена услуга и зарада остаје релативно висок, њихов утицај на инфлацију се постепено смањује. Очекује се да ће базна инфлација успорити са 2,9% у 2024. години на 2,3% у 2025, а затим на 2,0% у 2026. години, што указује на даље постепено опадање инфлаторних притисака.</w:t>
      </w:r>
    </w:p>
    <w:p w14:paraId="41A15A3A" w14:textId="77777777" w:rsidR="0079641B" w:rsidRPr="00E00086" w:rsidRDefault="0079641B" w:rsidP="0079641B">
      <w:pPr>
        <w:rPr>
          <w:rFonts w:ascii="Times New Roman" w:hAnsi="Times New Roman"/>
          <w:b/>
          <w:bCs/>
          <w:lang w:val="sr-Cyrl-RS"/>
        </w:rPr>
      </w:pPr>
      <w:r w:rsidRPr="00E00086">
        <w:rPr>
          <w:rFonts w:ascii="Times New Roman" w:hAnsi="Times New Roman"/>
          <w:b/>
          <w:bCs/>
          <w:lang w:val="sr-Cyrl-RS"/>
        </w:rPr>
        <w:br w:type="page"/>
      </w:r>
    </w:p>
    <w:p w14:paraId="660F2C20" w14:textId="77777777" w:rsidR="0079641B" w:rsidRPr="00E00086" w:rsidRDefault="0079641B" w:rsidP="0079641B">
      <w:pPr>
        <w:tabs>
          <w:tab w:val="left" w:pos="720"/>
          <w:tab w:val="left" w:pos="1440"/>
        </w:tabs>
        <w:spacing w:before="120" w:after="120"/>
        <w:rPr>
          <w:rFonts w:ascii="Times New Roman" w:hAnsi="Times New Roman"/>
          <w:szCs w:val="24"/>
          <w:lang w:val="sr-Cyrl-RS"/>
        </w:rPr>
      </w:pPr>
      <w:r w:rsidRPr="00E00086">
        <w:rPr>
          <w:rFonts w:ascii="Times New Roman" w:hAnsi="Times New Roman"/>
          <w:b/>
          <w:bCs/>
          <w:lang w:val="sr-Cyrl-RS"/>
        </w:rPr>
        <w:lastRenderedPageBreak/>
        <w:t>Макроекономски оквир Републике Србије</w:t>
      </w:r>
    </w:p>
    <w:p w14:paraId="6F1CA548"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szCs w:val="24"/>
          <w:lang w:val="sr-Cyrl-RS"/>
        </w:rPr>
        <w:t xml:space="preserve">Полазећи од текућих трендова у погледу кретања привредне активности, узимајући у обзир планиране мере економске политике, економске изгледе најважнијих спољнотрговинских партнера као и глобалне економске трендове, према пројекцији Министарства финансија раст БДП у 2025. години ће убрзати на 4,2%. </w:t>
      </w:r>
    </w:p>
    <w:p w14:paraId="38FDBD4F"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szCs w:val="24"/>
          <w:lang w:val="sr-Cyrl-RS"/>
        </w:rPr>
        <w:t>Посматрано по агрегатима употребе раст БДП у 2025. години биће у потпуности опредељен домаћом тражњом. Очекивано повећање зарада, како у приватном тако и у јавном сектору уз раст минималне зараде од 13,7%, већа запосленост и даљи раст пензија резултираће растом реалне личне потрошње од 4,1%. Благи позитиван допринос расту БДП у 2025. години доћи ће и од државне потрошње за коју се очекује повећање од 2,2%. Убрзање реализације започетих капиталних инфраструктурних пројеката и почетак новог инвестиционог циклуса планираног програмом „Скок у будућност – Србија 2027”, уз наставак стабилног прилива СДИ и високу профитабилност домаће привреде из претходног периода резултираће растом инвестиција од 7,7% у 2025. години. Активирање нових извозно оријентисаних капацитета као резултат ефектуирања СДИ, обезбедиће наставак стабилног раст реалног извоза од 5,9%, док ће увоз забележити раст од 6,5%, тако да ће допринос нето извоза расту БДП у 2025. години остати негативан и износиће -0,9 п.п.</w:t>
      </w:r>
    </w:p>
    <w:p w14:paraId="795446CE" w14:textId="343CD371"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szCs w:val="24"/>
          <w:lang w:val="sr-Cyrl-RS"/>
        </w:rPr>
        <w:t>Посматрано са производне стране, у 2025. години очекује се повећање креиране БДВ код свих привредних сектора. Услужни сектор ће у 2025. години задржати улогу доминантног носиоца раста економске активности. Раст би требало да буде диверсификован и остварен у свим услужним делатностима, а посебно снажан у трговини и саобраћају, туризму и угоститељству, уз наставак добрих резултата у ИКТ сектору и стручно техничким услугама. Индустрија ће наставити са растом и током 2025. године уз повећање од 4,0%. Процењује се да ће стабилан раст забележити и грађевинарство услед наставка извођења започетих инфраструктурних радова али и реализациј</w:t>
      </w:r>
      <w:r w:rsidR="00C154AC">
        <w:rPr>
          <w:rFonts w:ascii="Times New Roman" w:hAnsi="Times New Roman"/>
          <w:bCs/>
          <w:szCs w:val="24"/>
          <w:lang w:val="sr-Cyrl-RS"/>
        </w:rPr>
        <w:t>е</w:t>
      </w:r>
      <w:r w:rsidRPr="00E00086">
        <w:rPr>
          <w:rFonts w:ascii="Times New Roman" w:hAnsi="Times New Roman"/>
          <w:bCs/>
          <w:szCs w:val="24"/>
          <w:lang w:val="sr-Cyrl-RS"/>
        </w:rPr>
        <w:t xml:space="preserve"> нових грађевинских пројеката и убрзања приватних инвестиција. За сектор пољопривреде, имајући у виду мању производњу у 2024. години од очекиване, а под претпоставком просечних агрометеоролошких услова у 2025. години, пројектован је раст од 4,2%.</w:t>
      </w:r>
    </w:p>
    <w:p w14:paraId="312D3523"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szCs w:val="24"/>
          <w:lang w:val="sr-Cyrl-RS"/>
        </w:rPr>
        <w:t>Очекује се да ће тржиште рада остати на позитивној путањи раста и у наредном периоду. Креатори јавних политика континуирано доносе мере усмерене на унапређивање радне снаге у погледу квалитета, као и на улагање у људски капитал, све у циљу лакшег општег запошљавања, а нарочито у оном делу привреде који има већу додату вредност. Наставиће се са политикама које имају за циљ смањивање броја запослених у сивој зони и њихово превођење у контингент формално запослених, чиме би њихови услови рада били побољшани, а позитиван ефекат би се одразио и на приходе буџета. Такође повољним кретањима на тржишту рада допринеће и повећање минималне цене рада за 13,7% од 1. јануара 2025. године у циљу унапређења животног стандарда лица са најнижим примањима. У складу с тим пројектује се даље смањење стопе незапослености уз наставак реалног раста зарада. У приватном сектору очекује се да раст зарада прати раст продуктивности, док ће зараде у јавном сектору расти у складу са фискалним правилима.</w:t>
      </w:r>
    </w:p>
    <w:p w14:paraId="2E5C5390"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szCs w:val="24"/>
          <w:lang w:val="sr-Cyrl-RS"/>
        </w:rPr>
        <w:t>Дефицит текућег рачуна ће се у 2025. години, након раста на 4,4% БДП у 2024. години, додатно повећати на 5,2% БДП, пре свега као последица наставка бржег раста увоза од извоза услед наставка високих инвестиционих улагања, као и раста расположивог дохотка становништва. Стабилан прилив страних директних инвестиција ће и даље бити главни извор финансирања дефицита текућег рачуна у 2025. години.</w:t>
      </w:r>
    </w:p>
    <w:p w14:paraId="26FE789B"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bCs/>
          <w:szCs w:val="24"/>
          <w:lang w:val="sr-Cyrl-RS"/>
        </w:rPr>
        <w:t>Према актуелној пројекцији међугодишња инфлација ће наставити да се креће опадајућом путањoм. На наставак успоравања инфлације највише ће деловати рестриктивни монетарни услови, нижа увозна инфлација и инфлациона очекивања, као и очекивано постепено успоравање раста реалних зарада.</w:t>
      </w:r>
      <w:r w:rsidRPr="00E00086">
        <w:rPr>
          <w:rFonts w:ascii="Times New Roman" w:hAnsi="Times New Roman"/>
          <w:bCs/>
          <w:color w:val="FF0000"/>
          <w:szCs w:val="24"/>
          <w:lang w:val="sr-Cyrl-RS"/>
        </w:rPr>
        <w:t xml:space="preserve"> </w:t>
      </w:r>
      <w:r w:rsidRPr="00E00086">
        <w:rPr>
          <w:rFonts w:ascii="Times New Roman" w:hAnsi="Times New Roman"/>
          <w:bCs/>
          <w:szCs w:val="24"/>
          <w:lang w:val="sr-Cyrl-RS"/>
        </w:rPr>
        <w:t>Посматрано на нивоу целе 2025. године пројектује се просечан раст потрошачких цена од 3,5%</w:t>
      </w:r>
    </w:p>
    <w:p w14:paraId="0B659C1E" w14:textId="77777777" w:rsidR="0079641B" w:rsidRPr="00E00086" w:rsidRDefault="0079641B" w:rsidP="0079641B">
      <w:pPr>
        <w:tabs>
          <w:tab w:val="left" w:pos="720"/>
          <w:tab w:val="left" w:pos="1440"/>
        </w:tabs>
        <w:spacing w:before="120" w:after="120"/>
        <w:ind w:firstLine="720"/>
        <w:rPr>
          <w:rFonts w:ascii="Times New Roman" w:hAnsi="Times New Roman"/>
          <w:bCs/>
          <w:szCs w:val="24"/>
          <w:lang w:val="sr-Cyrl-RS"/>
        </w:rPr>
      </w:pPr>
      <w:r w:rsidRPr="00E00086">
        <w:rPr>
          <w:rFonts w:ascii="Times New Roman" w:hAnsi="Times New Roman"/>
          <w:szCs w:val="24"/>
          <w:lang w:val="sr-Cyrl-RS"/>
        </w:rPr>
        <w:lastRenderedPageBreak/>
        <w:t>Неизвесност присутна код пројекција далеко је већа од уобичајене због природе и обима шокова на глобалном нивоу. Канали преко којих они могу потенцијално деловати на домаћу привреду су бројни, често ланчано повезани, а сама јачина потенцијалних шокова je таква да у великој мери могу утицати на средњорочна кретања. Ризици макроекономског оквира у највећој мери потичу од неизвесности у погледу развоја међународних економских и политичких односа. Даља геокономска фрагментација и ограничења трговинских односа могу још у већој мери утицати на обим глобалне трговине и глобалне економске изгледе. Ескалација сукоба у Украјини и на Блиском истоку може изазвати нагле скокове цена енергената и додатно повећати неизвесност и забринутост инвеститора, изазивајући снажније инфлаторне притиске и још спорији опоравак економија наших највећих спољнотрговинских партнера. С друге стране, потенцијална деескалација глобалних напетости имала би за резултат значајне позитивне фекте на глобалне економске токове, што би се повољно одразило и на домаћу привреду кроз снажан синергетски ефекат са домаћим факторима раста.</w:t>
      </w:r>
    </w:p>
    <w:p w14:paraId="5422DB27" w14:textId="77777777" w:rsidR="0079641B" w:rsidRPr="00E00086" w:rsidRDefault="0079641B" w:rsidP="0079641B">
      <w:pPr>
        <w:tabs>
          <w:tab w:val="left" w:pos="720"/>
        </w:tabs>
        <w:spacing w:after="200" w:line="276" w:lineRule="auto"/>
        <w:jc w:val="center"/>
        <w:rPr>
          <w:rFonts w:ascii="Times New Roman" w:hAnsi="Times New Roman"/>
          <w:b/>
          <w:lang w:val="sr-Cyrl-RS"/>
        </w:rPr>
      </w:pPr>
      <w:r w:rsidRPr="00E00086">
        <w:rPr>
          <w:rFonts w:ascii="Times New Roman" w:hAnsi="Times New Roman"/>
          <w:b/>
          <w:lang w:val="sr-Cyrl-RS"/>
        </w:rPr>
        <w:t>Основне макроекономске претпоставке</w:t>
      </w:r>
    </w:p>
    <w:tbl>
      <w:tblPr>
        <w:tblW w:w="8800" w:type="dxa"/>
        <w:tblLook w:val="04A0" w:firstRow="1" w:lastRow="0" w:firstColumn="1" w:lastColumn="0" w:noHBand="0" w:noVBand="1"/>
      </w:tblPr>
      <w:tblGrid>
        <w:gridCol w:w="6880"/>
        <w:gridCol w:w="960"/>
        <w:gridCol w:w="960"/>
      </w:tblGrid>
      <w:tr w:rsidR="0079641B" w:rsidRPr="00E00086" w14:paraId="37404E35" w14:textId="77777777" w:rsidTr="00B85411">
        <w:trPr>
          <w:trHeight w:val="315"/>
        </w:trPr>
        <w:tc>
          <w:tcPr>
            <w:tcW w:w="6880" w:type="dxa"/>
            <w:tcBorders>
              <w:top w:val="nil"/>
              <w:left w:val="nil"/>
              <w:bottom w:val="single" w:sz="8" w:space="0" w:color="auto"/>
              <w:right w:val="single" w:sz="8" w:space="0" w:color="auto"/>
            </w:tcBorders>
            <w:shd w:val="clear" w:color="000000" w:fill="FFFFFF"/>
            <w:hideMark/>
          </w:tcPr>
          <w:p w14:paraId="583E401B" w14:textId="77777777" w:rsidR="0079641B" w:rsidRPr="00E00086" w:rsidRDefault="0079641B" w:rsidP="00B85411">
            <w:pPr>
              <w:rPr>
                <w:rFonts w:ascii="Calibri" w:hAnsi="Calibri" w:cs="Calibri"/>
                <w:color w:val="000000"/>
                <w:lang w:val="sr-Cyrl-RS"/>
              </w:rPr>
            </w:pPr>
            <w:r w:rsidRPr="00E00086">
              <w:rPr>
                <w:rFonts w:ascii="Calibri" w:hAnsi="Calibri" w:cs="Calibri"/>
                <w:color w:val="000000"/>
                <w:lang w:val="sr-Cyrl-RS"/>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672E3CF3" w14:textId="77777777" w:rsidR="0079641B" w:rsidRPr="00E00086" w:rsidRDefault="0079641B" w:rsidP="00B85411">
            <w:pPr>
              <w:jc w:val="center"/>
              <w:rPr>
                <w:rFonts w:ascii="Times New Roman" w:hAnsi="Times New Roman"/>
                <w:lang w:val="sr-Cyrl-RS"/>
              </w:rPr>
            </w:pPr>
            <w:r w:rsidRPr="00E00086">
              <w:rPr>
                <w:rFonts w:ascii="Times New Roman" w:hAnsi="Times New Roman"/>
                <w:lang w:val="sr-Cyrl-RS"/>
              </w:rPr>
              <w:t>2024</w:t>
            </w:r>
          </w:p>
        </w:tc>
        <w:tc>
          <w:tcPr>
            <w:tcW w:w="960" w:type="dxa"/>
            <w:tcBorders>
              <w:top w:val="nil"/>
              <w:left w:val="nil"/>
              <w:bottom w:val="single" w:sz="8" w:space="0" w:color="auto"/>
              <w:right w:val="single" w:sz="8" w:space="0" w:color="auto"/>
            </w:tcBorders>
            <w:shd w:val="clear" w:color="000000" w:fill="FFFFFF"/>
            <w:noWrap/>
            <w:vAlign w:val="center"/>
            <w:hideMark/>
          </w:tcPr>
          <w:p w14:paraId="73E51AC1" w14:textId="77777777" w:rsidR="0079641B" w:rsidRPr="00E00086" w:rsidRDefault="0079641B" w:rsidP="00B85411">
            <w:pPr>
              <w:jc w:val="center"/>
              <w:rPr>
                <w:rFonts w:ascii="Times New Roman" w:hAnsi="Times New Roman"/>
                <w:lang w:val="sr-Cyrl-RS"/>
              </w:rPr>
            </w:pPr>
            <w:r w:rsidRPr="00E00086">
              <w:rPr>
                <w:rFonts w:ascii="Times New Roman" w:hAnsi="Times New Roman"/>
                <w:lang w:val="sr-Cyrl-RS"/>
              </w:rPr>
              <w:t>2025</w:t>
            </w:r>
          </w:p>
        </w:tc>
      </w:tr>
      <w:tr w:rsidR="0079641B" w:rsidRPr="00E00086" w14:paraId="1B5F057F" w14:textId="77777777" w:rsidTr="00B85411">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390516E7"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Стопа реалног раста БДП,%</w:t>
            </w:r>
          </w:p>
        </w:tc>
        <w:tc>
          <w:tcPr>
            <w:tcW w:w="960" w:type="dxa"/>
            <w:tcBorders>
              <w:top w:val="nil"/>
              <w:left w:val="nil"/>
              <w:bottom w:val="single" w:sz="8" w:space="0" w:color="auto"/>
              <w:right w:val="single" w:sz="8" w:space="0" w:color="auto"/>
            </w:tcBorders>
            <w:shd w:val="clear" w:color="000000" w:fill="F2F2F2"/>
            <w:noWrap/>
            <w:vAlign w:val="center"/>
          </w:tcPr>
          <w:p w14:paraId="134C78FB"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3,8</w:t>
            </w:r>
          </w:p>
        </w:tc>
        <w:tc>
          <w:tcPr>
            <w:tcW w:w="960" w:type="dxa"/>
            <w:tcBorders>
              <w:top w:val="nil"/>
              <w:left w:val="nil"/>
              <w:bottom w:val="single" w:sz="8" w:space="0" w:color="auto"/>
              <w:right w:val="single" w:sz="8" w:space="0" w:color="auto"/>
            </w:tcBorders>
            <w:shd w:val="clear" w:color="000000" w:fill="F2F2F2"/>
            <w:noWrap/>
            <w:vAlign w:val="center"/>
          </w:tcPr>
          <w:p w14:paraId="77C9FF96"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4,2</w:t>
            </w:r>
          </w:p>
        </w:tc>
      </w:tr>
      <w:tr w:rsidR="0079641B" w:rsidRPr="00E00086" w14:paraId="203E6ED6" w14:textId="77777777" w:rsidTr="00B85411">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2762911C"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БДП у текућим тржишним ценама (у млрд РСД)</w:t>
            </w:r>
          </w:p>
        </w:tc>
        <w:tc>
          <w:tcPr>
            <w:tcW w:w="960" w:type="dxa"/>
            <w:tcBorders>
              <w:top w:val="nil"/>
              <w:left w:val="nil"/>
              <w:bottom w:val="single" w:sz="8" w:space="0" w:color="auto"/>
              <w:right w:val="single" w:sz="8" w:space="0" w:color="auto"/>
            </w:tcBorders>
            <w:shd w:val="clear" w:color="auto" w:fill="auto"/>
            <w:noWrap/>
            <w:vAlign w:val="center"/>
          </w:tcPr>
          <w:p w14:paraId="0B65ACF3"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9.604,8</w:t>
            </w:r>
          </w:p>
        </w:tc>
        <w:tc>
          <w:tcPr>
            <w:tcW w:w="960" w:type="dxa"/>
            <w:tcBorders>
              <w:top w:val="nil"/>
              <w:left w:val="nil"/>
              <w:bottom w:val="single" w:sz="8" w:space="0" w:color="auto"/>
              <w:right w:val="single" w:sz="8" w:space="0" w:color="auto"/>
            </w:tcBorders>
            <w:shd w:val="clear" w:color="auto" w:fill="auto"/>
            <w:noWrap/>
            <w:vAlign w:val="center"/>
          </w:tcPr>
          <w:p w14:paraId="56A8AE95"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10.328,9</w:t>
            </w:r>
          </w:p>
        </w:tc>
      </w:tr>
      <w:tr w:rsidR="0079641B" w:rsidRPr="00E00086" w14:paraId="0996B0AD" w14:textId="77777777" w:rsidTr="00B85411">
        <w:trPr>
          <w:trHeight w:val="215"/>
        </w:trPr>
        <w:tc>
          <w:tcPr>
            <w:tcW w:w="6880" w:type="dxa"/>
            <w:tcBorders>
              <w:top w:val="nil"/>
              <w:left w:val="nil"/>
              <w:bottom w:val="single" w:sz="8" w:space="0" w:color="auto"/>
              <w:right w:val="nil"/>
            </w:tcBorders>
            <w:shd w:val="clear" w:color="000000" w:fill="FFFFFF"/>
            <w:noWrap/>
            <w:vAlign w:val="center"/>
            <w:hideMark/>
          </w:tcPr>
          <w:p w14:paraId="162EC004" w14:textId="77777777" w:rsidR="0079641B" w:rsidRPr="00E00086" w:rsidRDefault="0079641B" w:rsidP="00B85411">
            <w:pPr>
              <w:rPr>
                <w:rFonts w:ascii="Times New Roman" w:hAnsi="Times New Roman"/>
                <w:b/>
                <w:bCs/>
                <w:i/>
                <w:iCs/>
                <w:lang w:val="sr-Cyrl-RS"/>
              </w:rPr>
            </w:pPr>
            <w:r w:rsidRPr="00E00086">
              <w:rPr>
                <w:rFonts w:ascii="Times New Roman" w:hAnsi="Times New Roman"/>
                <w:b/>
                <w:bCs/>
                <w:i/>
                <w:iCs/>
                <w:lang w:val="sr-Cyrl-RS"/>
              </w:rPr>
              <w:t>Извори раста: процентне промене у сталним ценама</w:t>
            </w:r>
          </w:p>
        </w:tc>
        <w:tc>
          <w:tcPr>
            <w:tcW w:w="960" w:type="dxa"/>
            <w:tcBorders>
              <w:top w:val="nil"/>
              <w:left w:val="nil"/>
              <w:bottom w:val="single" w:sz="8" w:space="0" w:color="auto"/>
              <w:right w:val="nil"/>
            </w:tcBorders>
            <w:shd w:val="clear" w:color="000000" w:fill="FFFFFF"/>
            <w:noWrap/>
            <w:vAlign w:val="center"/>
          </w:tcPr>
          <w:p w14:paraId="1A891CBE" w14:textId="77777777" w:rsidR="0079641B" w:rsidRPr="00E00086" w:rsidRDefault="0079641B" w:rsidP="00B85411">
            <w:pPr>
              <w:rPr>
                <w:rFonts w:ascii="Times New Roman" w:hAnsi="Times New Roman"/>
                <w:b/>
                <w:bCs/>
                <w:i/>
                <w:iCs/>
                <w:sz w:val="20"/>
                <w:lang w:val="sr-Cyrl-RS"/>
              </w:rPr>
            </w:pPr>
          </w:p>
        </w:tc>
        <w:tc>
          <w:tcPr>
            <w:tcW w:w="960" w:type="dxa"/>
            <w:tcBorders>
              <w:top w:val="nil"/>
              <w:left w:val="nil"/>
              <w:bottom w:val="single" w:sz="8" w:space="0" w:color="auto"/>
              <w:right w:val="single" w:sz="8" w:space="0" w:color="7F7F7F"/>
            </w:tcBorders>
            <w:shd w:val="clear" w:color="000000" w:fill="FFFFFF"/>
            <w:noWrap/>
            <w:vAlign w:val="center"/>
          </w:tcPr>
          <w:p w14:paraId="19205CD9" w14:textId="77777777" w:rsidR="0079641B" w:rsidRPr="00E00086" w:rsidRDefault="0079641B" w:rsidP="00B85411">
            <w:pPr>
              <w:rPr>
                <w:rFonts w:ascii="Times New Roman" w:hAnsi="Times New Roman"/>
                <w:b/>
                <w:bCs/>
                <w:i/>
                <w:iCs/>
                <w:sz w:val="20"/>
                <w:lang w:val="sr-Cyrl-RS"/>
              </w:rPr>
            </w:pPr>
          </w:p>
        </w:tc>
      </w:tr>
      <w:tr w:rsidR="0079641B" w:rsidRPr="00E00086" w14:paraId="6F7CCBD1" w14:textId="77777777" w:rsidTr="00B85411">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75048708"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Лична потрошња</w:t>
            </w:r>
          </w:p>
        </w:tc>
        <w:tc>
          <w:tcPr>
            <w:tcW w:w="960" w:type="dxa"/>
            <w:tcBorders>
              <w:top w:val="nil"/>
              <w:left w:val="nil"/>
              <w:bottom w:val="single" w:sz="8" w:space="0" w:color="auto"/>
              <w:right w:val="single" w:sz="8" w:space="0" w:color="auto"/>
            </w:tcBorders>
            <w:shd w:val="clear" w:color="auto" w:fill="auto"/>
            <w:noWrap/>
            <w:vAlign w:val="center"/>
          </w:tcPr>
          <w:p w14:paraId="49BD21DC"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4,5</w:t>
            </w:r>
          </w:p>
        </w:tc>
        <w:tc>
          <w:tcPr>
            <w:tcW w:w="960" w:type="dxa"/>
            <w:tcBorders>
              <w:top w:val="nil"/>
              <w:left w:val="nil"/>
              <w:bottom w:val="single" w:sz="8" w:space="0" w:color="auto"/>
              <w:right w:val="single" w:sz="8" w:space="0" w:color="auto"/>
            </w:tcBorders>
            <w:shd w:val="clear" w:color="auto" w:fill="auto"/>
            <w:noWrap/>
            <w:vAlign w:val="center"/>
          </w:tcPr>
          <w:p w14:paraId="77C8DABF"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4,1</w:t>
            </w:r>
          </w:p>
        </w:tc>
      </w:tr>
      <w:tr w:rsidR="0079641B" w:rsidRPr="00E00086" w14:paraId="7A6D6EDB" w14:textId="77777777" w:rsidTr="00B85411">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21A409A3"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Државна потрошња</w:t>
            </w:r>
          </w:p>
        </w:tc>
        <w:tc>
          <w:tcPr>
            <w:tcW w:w="960" w:type="dxa"/>
            <w:tcBorders>
              <w:top w:val="nil"/>
              <w:left w:val="nil"/>
              <w:bottom w:val="single" w:sz="8" w:space="0" w:color="auto"/>
              <w:right w:val="single" w:sz="8" w:space="0" w:color="auto"/>
            </w:tcBorders>
            <w:shd w:val="clear" w:color="000000" w:fill="F2F2F2"/>
            <w:noWrap/>
            <w:vAlign w:val="center"/>
          </w:tcPr>
          <w:p w14:paraId="2D127DAB"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3,1</w:t>
            </w:r>
          </w:p>
        </w:tc>
        <w:tc>
          <w:tcPr>
            <w:tcW w:w="960" w:type="dxa"/>
            <w:tcBorders>
              <w:top w:val="nil"/>
              <w:left w:val="nil"/>
              <w:bottom w:val="single" w:sz="8" w:space="0" w:color="auto"/>
              <w:right w:val="single" w:sz="8" w:space="0" w:color="auto"/>
            </w:tcBorders>
            <w:shd w:val="clear" w:color="000000" w:fill="F2F2F2"/>
            <w:noWrap/>
            <w:vAlign w:val="center"/>
          </w:tcPr>
          <w:p w14:paraId="396BDF97"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2,2</w:t>
            </w:r>
          </w:p>
        </w:tc>
      </w:tr>
      <w:tr w:rsidR="0079641B" w:rsidRPr="00E00086" w14:paraId="4023F7F5" w14:textId="77777777" w:rsidTr="00B85411">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5342C0F1"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Инвестиције у основна средства</w:t>
            </w:r>
          </w:p>
        </w:tc>
        <w:tc>
          <w:tcPr>
            <w:tcW w:w="960" w:type="dxa"/>
            <w:tcBorders>
              <w:top w:val="nil"/>
              <w:left w:val="nil"/>
              <w:bottom w:val="single" w:sz="8" w:space="0" w:color="auto"/>
              <w:right w:val="single" w:sz="8" w:space="0" w:color="auto"/>
            </w:tcBorders>
            <w:shd w:val="clear" w:color="auto" w:fill="auto"/>
            <w:noWrap/>
            <w:vAlign w:val="center"/>
          </w:tcPr>
          <w:p w14:paraId="42F0C148"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9,2</w:t>
            </w:r>
          </w:p>
        </w:tc>
        <w:tc>
          <w:tcPr>
            <w:tcW w:w="960" w:type="dxa"/>
            <w:tcBorders>
              <w:top w:val="nil"/>
              <w:left w:val="nil"/>
              <w:bottom w:val="single" w:sz="8" w:space="0" w:color="auto"/>
              <w:right w:val="single" w:sz="8" w:space="0" w:color="auto"/>
            </w:tcBorders>
            <w:shd w:val="clear" w:color="auto" w:fill="auto"/>
            <w:noWrap/>
            <w:vAlign w:val="center"/>
          </w:tcPr>
          <w:p w14:paraId="2933B7EE"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7,7</w:t>
            </w:r>
          </w:p>
        </w:tc>
      </w:tr>
      <w:tr w:rsidR="0079641B" w:rsidRPr="00E00086" w14:paraId="37FD4566" w14:textId="77777777" w:rsidTr="00B85411">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3EEC4B52"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Извоз роба и услуга</w:t>
            </w:r>
          </w:p>
        </w:tc>
        <w:tc>
          <w:tcPr>
            <w:tcW w:w="960" w:type="dxa"/>
            <w:tcBorders>
              <w:top w:val="nil"/>
              <w:left w:val="nil"/>
              <w:bottom w:val="single" w:sz="8" w:space="0" w:color="auto"/>
              <w:right w:val="single" w:sz="8" w:space="0" w:color="auto"/>
            </w:tcBorders>
            <w:shd w:val="clear" w:color="000000" w:fill="F2F2F2"/>
            <w:noWrap/>
            <w:vAlign w:val="center"/>
          </w:tcPr>
          <w:p w14:paraId="0A12500D"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4,4</w:t>
            </w:r>
          </w:p>
        </w:tc>
        <w:tc>
          <w:tcPr>
            <w:tcW w:w="960" w:type="dxa"/>
            <w:tcBorders>
              <w:top w:val="nil"/>
              <w:left w:val="nil"/>
              <w:bottom w:val="single" w:sz="8" w:space="0" w:color="auto"/>
              <w:right w:val="single" w:sz="8" w:space="0" w:color="auto"/>
            </w:tcBorders>
            <w:shd w:val="clear" w:color="000000" w:fill="F2F2F2"/>
            <w:noWrap/>
            <w:vAlign w:val="center"/>
          </w:tcPr>
          <w:p w14:paraId="7B95AC3B"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5,9</w:t>
            </w:r>
          </w:p>
        </w:tc>
      </w:tr>
      <w:tr w:rsidR="0079641B" w:rsidRPr="00E00086" w14:paraId="6898A3DD" w14:textId="77777777" w:rsidTr="00B85411">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0A5C3E8A"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Увоз роба и услуга</w:t>
            </w:r>
          </w:p>
        </w:tc>
        <w:tc>
          <w:tcPr>
            <w:tcW w:w="960" w:type="dxa"/>
            <w:tcBorders>
              <w:top w:val="nil"/>
              <w:left w:val="nil"/>
              <w:bottom w:val="single" w:sz="8" w:space="0" w:color="auto"/>
              <w:right w:val="single" w:sz="8" w:space="0" w:color="auto"/>
            </w:tcBorders>
            <w:shd w:val="clear" w:color="auto" w:fill="auto"/>
            <w:noWrap/>
            <w:vAlign w:val="center"/>
          </w:tcPr>
          <w:p w14:paraId="0FD7D781"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8,0</w:t>
            </w:r>
          </w:p>
        </w:tc>
        <w:tc>
          <w:tcPr>
            <w:tcW w:w="960" w:type="dxa"/>
            <w:tcBorders>
              <w:top w:val="nil"/>
              <w:left w:val="nil"/>
              <w:bottom w:val="single" w:sz="8" w:space="0" w:color="auto"/>
              <w:right w:val="single" w:sz="8" w:space="0" w:color="auto"/>
            </w:tcBorders>
            <w:shd w:val="clear" w:color="auto" w:fill="auto"/>
            <w:noWrap/>
            <w:vAlign w:val="center"/>
          </w:tcPr>
          <w:p w14:paraId="66731926"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6,5</w:t>
            </w:r>
          </w:p>
        </w:tc>
      </w:tr>
      <w:tr w:rsidR="0079641B" w:rsidRPr="00E00086" w14:paraId="69B60545" w14:textId="77777777" w:rsidTr="00B85411">
        <w:trPr>
          <w:trHeight w:val="215"/>
        </w:trPr>
        <w:tc>
          <w:tcPr>
            <w:tcW w:w="6880" w:type="dxa"/>
            <w:tcBorders>
              <w:top w:val="nil"/>
              <w:left w:val="nil"/>
              <w:bottom w:val="single" w:sz="8" w:space="0" w:color="auto"/>
              <w:right w:val="nil"/>
            </w:tcBorders>
            <w:shd w:val="clear" w:color="000000" w:fill="FFFFFF"/>
            <w:noWrap/>
            <w:vAlign w:val="center"/>
            <w:hideMark/>
          </w:tcPr>
          <w:p w14:paraId="42D3460D" w14:textId="77777777" w:rsidR="0079641B" w:rsidRPr="00E00086" w:rsidRDefault="0079641B" w:rsidP="00B85411">
            <w:pPr>
              <w:rPr>
                <w:rFonts w:ascii="Times New Roman" w:hAnsi="Times New Roman"/>
                <w:b/>
                <w:bCs/>
                <w:i/>
                <w:iCs/>
                <w:lang w:val="sr-Cyrl-RS"/>
              </w:rPr>
            </w:pPr>
            <w:r w:rsidRPr="00E00086">
              <w:rPr>
                <w:rFonts w:ascii="Times New Roman" w:hAnsi="Times New Roman"/>
                <w:b/>
                <w:bCs/>
                <w:i/>
                <w:iCs/>
                <w:lang w:val="sr-Cyrl-RS"/>
              </w:rPr>
              <w:t>Допринос расту БДП, процентни поени</w:t>
            </w:r>
          </w:p>
        </w:tc>
        <w:tc>
          <w:tcPr>
            <w:tcW w:w="960" w:type="dxa"/>
            <w:tcBorders>
              <w:top w:val="nil"/>
              <w:left w:val="nil"/>
              <w:bottom w:val="single" w:sz="8" w:space="0" w:color="auto"/>
              <w:right w:val="nil"/>
            </w:tcBorders>
            <w:shd w:val="clear" w:color="000000" w:fill="FFFFFF"/>
            <w:noWrap/>
            <w:vAlign w:val="center"/>
          </w:tcPr>
          <w:p w14:paraId="3E3348B9" w14:textId="77777777" w:rsidR="0079641B" w:rsidRPr="00E00086" w:rsidRDefault="0079641B" w:rsidP="00B85411">
            <w:pPr>
              <w:rPr>
                <w:rFonts w:ascii="Times New Roman" w:hAnsi="Times New Roman"/>
                <w:b/>
                <w:bCs/>
                <w:i/>
                <w:iCs/>
                <w:sz w:val="20"/>
                <w:lang w:val="sr-Cyrl-RS"/>
              </w:rPr>
            </w:pPr>
          </w:p>
        </w:tc>
        <w:tc>
          <w:tcPr>
            <w:tcW w:w="960" w:type="dxa"/>
            <w:tcBorders>
              <w:top w:val="nil"/>
              <w:left w:val="nil"/>
              <w:bottom w:val="single" w:sz="8" w:space="0" w:color="auto"/>
              <w:right w:val="single" w:sz="8" w:space="0" w:color="7F7F7F"/>
            </w:tcBorders>
            <w:shd w:val="clear" w:color="000000" w:fill="FFFFFF"/>
            <w:noWrap/>
            <w:vAlign w:val="center"/>
          </w:tcPr>
          <w:p w14:paraId="5079BF8B" w14:textId="77777777" w:rsidR="0079641B" w:rsidRPr="00E00086" w:rsidRDefault="0079641B" w:rsidP="00B85411">
            <w:pPr>
              <w:rPr>
                <w:rFonts w:ascii="Times New Roman" w:hAnsi="Times New Roman"/>
                <w:b/>
                <w:bCs/>
                <w:i/>
                <w:iCs/>
                <w:sz w:val="20"/>
                <w:lang w:val="sr-Cyrl-RS"/>
              </w:rPr>
            </w:pPr>
          </w:p>
        </w:tc>
      </w:tr>
      <w:tr w:rsidR="0079641B" w:rsidRPr="00E00086" w14:paraId="698A9D80" w14:textId="77777777" w:rsidTr="00B85411">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06F516BD"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Домаћа тражња</w:t>
            </w:r>
          </w:p>
        </w:tc>
        <w:tc>
          <w:tcPr>
            <w:tcW w:w="960" w:type="dxa"/>
            <w:tcBorders>
              <w:top w:val="nil"/>
              <w:left w:val="nil"/>
              <w:bottom w:val="single" w:sz="8" w:space="0" w:color="auto"/>
              <w:right w:val="single" w:sz="8" w:space="0" w:color="auto"/>
            </w:tcBorders>
            <w:shd w:val="clear" w:color="auto" w:fill="auto"/>
            <w:noWrap/>
            <w:vAlign w:val="center"/>
          </w:tcPr>
          <w:p w14:paraId="03760F01"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6,3</w:t>
            </w:r>
          </w:p>
        </w:tc>
        <w:tc>
          <w:tcPr>
            <w:tcW w:w="960" w:type="dxa"/>
            <w:tcBorders>
              <w:top w:val="nil"/>
              <w:left w:val="nil"/>
              <w:bottom w:val="single" w:sz="8" w:space="0" w:color="auto"/>
              <w:right w:val="single" w:sz="8" w:space="0" w:color="auto"/>
            </w:tcBorders>
            <w:shd w:val="clear" w:color="auto" w:fill="auto"/>
            <w:noWrap/>
            <w:vAlign w:val="center"/>
          </w:tcPr>
          <w:p w14:paraId="632A51A2"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5,0</w:t>
            </w:r>
          </w:p>
        </w:tc>
      </w:tr>
      <w:tr w:rsidR="0079641B" w:rsidRPr="00E00086" w14:paraId="26A5B610" w14:textId="77777777" w:rsidTr="00B85411">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05C915B0"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Лична потрошња</w:t>
            </w:r>
          </w:p>
        </w:tc>
        <w:tc>
          <w:tcPr>
            <w:tcW w:w="960" w:type="dxa"/>
            <w:tcBorders>
              <w:top w:val="nil"/>
              <w:left w:val="nil"/>
              <w:bottom w:val="single" w:sz="8" w:space="0" w:color="auto"/>
              <w:right w:val="single" w:sz="8" w:space="0" w:color="auto"/>
            </w:tcBorders>
            <w:shd w:val="clear" w:color="000000" w:fill="F2F2F2"/>
            <w:noWrap/>
            <w:vAlign w:val="center"/>
          </w:tcPr>
          <w:p w14:paraId="0E51C0C8"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2,8</w:t>
            </w:r>
          </w:p>
        </w:tc>
        <w:tc>
          <w:tcPr>
            <w:tcW w:w="960" w:type="dxa"/>
            <w:tcBorders>
              <w:top w:val="nil"/>
              <w:left w:val="nil"/>
              <w:bottom w:val="single" w:sz="8" w:space="0" w:color="auto"/>
              <w:right w:val="single" w:sz="8" w:space="0" w:color="auto"/>
            </w:tcBorders>
            <w:shd w:val="clear" w:color="000000" w:fill="F2F2F2"/>
            <w:noWrap/>
            <w:vAlign w:val="center"/>
          </w:tcPr>
          <w:p w14:paraId="715D62D7"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2,6</w:t>
            </w:r>
          </w:p>
        </w:tc>
      </w:tr>
      <w:tr w:rsidR="0079641B" w:rsidRPr="00E00086" w14:paraId="026E407E" w14:textId="77777777" w:rsidTr="00B85411">
        <w:trPr>
          <w:trHeight w:val="215"/>
        </w:trPr>
        <w:tc>
          <w:tcPr>
            <w:tcW w:w="6880" w:type="dxa"/>
            <w:tcBorders>
              <w:top w:val="nil"/>
              <w:left w:val="nil"/>
              <w:bottom w:val="single" w:sz="8" w:space="0" w:color="auto"/>
              <w:right w:val="single" w:sz="8" w:space="0" w:color="auto"/>
            </w:tcBorders>
            <w:shd w:val="clear" w:color="auto" w:fill="auto"/>
            <w:noWrap/>
            <w:vAlign w:val="center"/>
            <w:hideMark/>
          </w:tcPr>
          <w:p w14:paraId="3E464347"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Државна потрошња</w:t>
            </w:r>
          </w:p>
        </w:tc>
        <w:tc>
          <w:tcPr>
            <w:tcW w:w="960" w:type="dxa"/>
            <w:tcBorders>
              <w:top w:val="nil"/>
              <w:left w:val="nil"/>
              <w:bottom w:val="single" w:sz="8" w:space="0" w:color="auto"/>
              <w:right w:val="single" w:sz="8" w:space="0" w:color="auto"/>
            </w:tcBorders>
            <w:shd w:val="clear" w:color="auto" w:fill="auto"/>
            <w:noWrap/>
            <w:vAlign w:val="center"/>
          </w:tcPr>
          <w:p w14:paraId="288FCEDD"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0,5</w:t>
            </w:r>
          </w:p>
        </w:tc>
        <w:tc>
          <w:tcPr>
            <w:tcW w:w="960" w:type="dxa"/>
            <w:tcBorders>
              <w:top w:val="nil"/>
              <w:left w:val="nil"/>
              <w:bottom w:val="single" w:sz="8" w:space="0" w:color="auto"/>
              <w:right w:val="single" w:sz="8" w:space="0" w:color="auto"/>
            </w:tcBorders>
            <w:shd w:val="clear" w:color="auto" w:fill="auto"/>
            <w:noWrap/>
            <w:vAlign w:val="center"/>
          </w:tcPr>
          <w:p w14:paraId="2FFFC67C"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0,4</w:t>
            </w:r>
          </w:p>
        </w:tc>
      </w:tr>
      <w:tr w:rsidR="0079641B" w:rsidRPr="00E00086" w14:paraId="0D011879" w14:textId="77777777" w:rsidTr="00B85411">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5AACD326"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Инвестиције у основна средства</w:t>
            </w:r>
          </w:p>
        </w:tc>
        <w:tc>
          <w:tcPr>
            <w:tcW w:w="960" w:type="dxa"/>
            <w:tcBorders>
              <w:top w:val="nil"/>
              <w:left w:val="nil"/>
              <w:bottom w:val="single" w:sz="8" w:space="0" w:color="auto"/>
              <w:right w:val="single" w:sz="8" w:space="0" w:color="auto"/>
            </w:tcBorders>
            <w:shd w:val="clear" w:color="000000" w:fill="F2F2F2"/>
            <w:noWrap/>
            <w:vAlign w:val="center"/>
          </w:tcPr>
          <w:p w14:paraId="332D4D8C"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2,2</w:t>
            </w:r>
          </w:p>
        </w:tc>
        <w:tc>
          <w:tcPr>
            <w:tcW w:w="960" w:type="dxa"/>
            <w:tcBorders>
              <w:top w:val="nil"/>
              <w:left w:val="nil"/>
              <w:bottom w:val="single" w:sz="8" w:space="0" w:color="auto"/>
              <w:right w:val="single" w:sz="8" w:space="0" w:color="auto"/>
            </w:tcBorders>
            <w:shd w:val="clear" w:color="000000" w:fill="F2F2F2"/>
            <w:noWrap/>
            <w:vAlign w:val="center"/>
          </w:tcPr>
          <w:p w14:paraId="6C04BE30"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2,0</w:t>
            </w:r>
          </w:p>
        </w:tc>
      </w:tr>
      <w:tr w:rsidR="0079641B" w:rsidRPr="00E00086" w14:paraId="2029CE1C" w14:textId="77777777" w:rsidTr="00B85411">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7E14961F"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Нето извоз</w:t>
            </w:r>
          </w:p>
        </w:tc>
        <w:tc>
          <w:tcPr>
            <w:tcW w:w="960" w:type="dxa"/>
            <w:tcBorders>
              <w:top w:val="nil"/>
              <w:left w:val="nil"/>
              <w:bottom w:val="single" w:sz="8" w:space="0" w:color="auto"/>
              <w:right w:val="single" w:sz="8" w:space="0" w:color="auto"/>
            </w:tcBorders>
            <w:shd w:val="clear" w:color="auto" w:fill="auto"/>
            <w:noWrap/>
            <w:vAlign w:val="center"/>
          </w:tcPr>
          <w:p w14:paraId="76D01DFE"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-2,5</w:t>
            </w:r>
          </w:p>
        </w:tc>
        <w:tc>
          <w:tcPr>
            <w:tcW w:w="960" w:type="dxa"/>
            <w:tcBorders>
              <w:top w:val="nil"/>
              <w:left w:val="nil"/>
              <w:bottom w:val="single" w:sz="8" w:space="0" w:color="auto"/>
              <w:right w:val="single" w:sz="8" w:space="0" w:color="auto"/>
            </w:tcBorders>
            <w:shd w:val="clear" w:color="auto" w:fill="auto"/>
            <w:noWrap/>
            <w:vAlign w:val="center"/>
          </w:tcPr>
          <w:p w14:paraId="291B877F"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-0,9</w:t>
            </w:r>
          </w:p>
        </w:tc>
      </w:tr>
      <w:tr w:rsidR="0079641B" w:rsidRPr="00E00086" w14:paraId="224FA0A5" w14:textId="77777777" w:rsidTr="00B85411">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7ED4B9C5"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Промене у залихама</w:t>
            </w:r>
          </w:p>
        </w:tc>
        <w:tc>
          <w:tcPr>
            <w:tcW w:w="960" w:type="dxa"/>
            <w:tcBorders>
              <w:top w:val="nil"/>
              <w:left w:val="nil"/>
              <w:bottom w:val="single" w:sz="8" w:space="0" w:color="auto"/>
              <w:right w:val="single" w:sz="8" w:space="0" w:color="auto"/>
            </w:tcBorders>
            <w:shd w:val="clear" w:color="000000" w:fill="F2F2F2"/>
            <w:noWrap/>
            <w:vAlign w:val="center"/>
          </w:tcPr>
          <w:p w14:paraId="41E7C436"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0,7</w:t>
            </w:r>
          </w:p>
        </w:tc>
        <w:tc>
          <w:tcPr>
            <w:tcW w:w="960" w:type="dxa"/>
            <w:tcBorders>
              <w:top w:val="nil"/>
              <w:left w:val="nil"/>
              <w:bottom w:val="single" w:sz="8" w:space="0" w:color="auto"/>
              <w:right w:val="single" w:sz="8" w:space="0" w:color="auto"/>
            </w:tcBorders>
            <w:shd w:val="clear" w:color="000000" w:fill="F2F2F2"/>
            <w:noWrap/>
            <w:vAlign w:val="center"/>
          </w:tcPr>
          <w:p w14:paraId="735F1904"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0,0</w:t>
            </w:r>
          </w:p>
        </w:tc>
      </w:tr>
      <w:tr w:rsidR="0079641B" w:rsidRPr="00E00086" w14:paraId="442A2BDA" w14:textId="77777777" w:rsidTr="00B85411">
        <w:trPr>
          <w:trHeight w:val="215"/>
        </w:trPr>
        <w:tc>
          <w:tcPr>
            <w:tcW w:w="6880" w:type="dxa"/>
            <w:tcBorders>
              <w:top w:val="nil"/>
              <w:left w:val="nil"/>
              <w:bottom w:val="single" w:sz="8" w:space="0" w:color="auto"/>
              <w:right w:val="nil"/>
            </w:tcBorders>
            <w:shd w:val="clear" w:color="000000" w:fill="FFFFFF"/>
            <w:noWrap/>
            <w:vAlign w:val="center"/>
            <w:hideMark/>
          </w:tcPr>
          <w:p w14:paraId="63D2ACE3" w14:textId="77777777" w:rsidR="0079641B" w:rsidRPr="00E00086" w:rsidRDefault="0079641B" w:rsidP="00B85411">
            <w:pPr>
              <w:rPr>
                <w:rFonts w:ascii="Times New Roman" w:hAnsi="Times New Roman"/>
                <w:b/>
                <w:bCs/>
                <w:i/>
                <w:iCs/>
                <w:lang w:val="sr-Cyrl-RS"/>
              </w:rPr>
            </w:pPr>
            <w:r w:rsidRPr="00E00086">
              <w:rPr>
                <w:rFonts w:ascii="Times New Roman" w:hAnsi="Times New Roman"/>
                <w:b/>
                <w:bCs/>
                <w:i/>
                <w:iCs/>
                <w:lang w:val="sr-Cyrl-RS"/>
              </w:rPr>
              <w:t>Кретање цена, %</w:t>
            </w:r>
          </w:p>
        </w:tc>
        <w:tc>
          <w:tcPr>
            <w:tcW w:w="960" w:type="dxa"/>
            <w:tcBorders>
              <w:top w:val="nil"/>
              <w:left w:val="nil"/>
              <w:bottom w:val="single" w:sz="8" w:space="0" w:color="auto"/>
              <w:right w:val="nil"/>
            </w:tcBorders>
            <w:shd w:val="clear" w:color="000000" w:fill="FFFFFF"/>
            <w:noWrap/>
            <w:vAlign w:val="center"/>
          </w:tcPr>
          <w:p w14:paraId="243F5D3A" w14:textId="77777777" w:rsidR="0079641B" w:rsidRPr="00E00086" w:rsidRDefault="0079641B" w:rsidP="00B85411">
            <w:pPr>
              <w:rPr>
                <w:rFonts w:ascii="Times New Roman" w:hAnsi="Times New Roman"/>
                <w:b/>
                <w:bCs/>
                <w:i/>
                <w:iCs/>
                <w:sz w:val="20"/>
                <w:lang w:val="sr-Cyrl-RS"/>
              </w:rPr>
            </w:pPr>
          </w:p>
        </w:tc>
        <w:tc>
          <w:tcPr>
            <w:tcW w:w="960" w:type="dxa"/>
            <w:tcBorders>
              <w:top w:val="nil"/>
              <w:left w:val="nil"/>
              <w:bottom w:val="single" w:sz="8" w:space="0" w:color="auto"/>
              <w:right w:val="single" w:sz="8" w:space="0" w:color="7F7F7F"/>
            </w:tcBorders>
            <w:shd w:val="clear" w:color="000000" w:fill="FFFFFF"/>
            <w:noWrap/>
            <w:vAlign w:val="center"/>
          </w:tcPr>
          <w:p w14:paraId="2DE84EF7" w14:textId="77777777" w:rsidR="0079641B" w:rsidRPr="00E00086" w:rsidRDefault="0079641B" w:rsidP="00B85411">
            <w:pPr>
              <w:rPr>
                <w:rFonts w:ascii="Times New Roman" w:hAnsi="Times New Roman"/>
                <w:b/>
                <w:bCs/>
                <w:i/>
                <w:iCs/>
                <w:sz w:val="20"/>
                <w:lang w:val="sr-Cyrl-RS"/>
              </w:rPr>
            </w:pPr>
          </w:p>
        </w:tc>
      </w:tr>
      <w:tr w:rsidR="0079641B" w:rsidRPr="00E00086" w14:paraId="02117FF7" w14:textId="77777777" w:rsidTr="00B85411">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20E12709"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Потрошачке цене (годишњи просек)</w:t>
            </w:r>
          </w:p>
        </w:tc>
        <w:tc>
          <w:tcPr>
            <w:tcW w:w="960" w:type="dxa"/>
            <w:tcBorders>
              <w:top w:val="nil"/>
              <w:left w:val="nil"/>
              <w:bottom w:val="single" w:sz="8" w:space="0" w:color="auto"/>
              <w:right w:val="single" w:sz="8" w:space="0" w:color="auto"/>
            </w:tcBorders>
            <w:shd w:val="clear" w:color="000000" w:fill="F2F2F2"/>
            <w:noWrap/>
            <w:vAlign w:val="center"/>
          </w:tcPr>
          <w:p w14:paraId="78A339C4"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4,7</w:t>
            </w:r>
          </w:p>
        </w:tc>
        <w:tc>
          <w:tcPr>
            <w:tcW w:w="960" w:type="dxa"/>
            <w:tcBorders>
              <w:top w:val="nil"/>
              <w:left w:val="nil"/>
              <w:bottom w:val="single" w:sz="8" w:space="0" w:color="auto"/>
              <w:right w:val="single" w:sz="8" w:space="0" w:color="auto"/>
            </w:tcBorders>
            <w:shd w:val="clear" w:color="000000" w:fill="F2F2F2"/>
            <w:noWrap/>
            <w:vAlign w:val="center"/>
          </w:tcPr>
          <w:p w14:paraId="28EC0892"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3,5</w:t>
            </w:r>
          </w:p>
        </w:tc>
      </w:tr>
      <w:tr w:rsidR="0079641B" w:rsidRPr="00E00086" w14:paraId="408D3DBC" w14:textId="77777777" w:rsidTr="00B85411">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7466DFAC"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Дефлатор БДП</w:t>
            </w:r>
          </w:p>
        </w:tc>
        <w:tc>
          <w:tcPr>
            <w:tcW w:w="960" w:type="dxa"/>
            <w:tcBorders>
              <w:top w:val="nil"/>
              <w:left w:val="nil"/>
              <w:bottom w:val="single" w:sz="8" w:space="0" w:color="auto"/>
              <w:right w:val="single" w:sz="8" w:space="0" w:color="auto"/>
            </w:tcBorders>
            <w:shd w:val="clear" w:color="auto" w:fill="auto"/>
            <w:noWrap/>
            <w:vAlign w:val="center"/>
          </w:tcPr>
          <w:p w14:paraId="299FCB7D"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5,0</w:t>
            </w:r>
          </w:p>
        </w:tc>
        <w:tc>
          <w:tcPr>
            <w:tcW w:w="960" w:type="dxa"/>
            <w:tcBorders>
              <w:top w:val="nil"/>
              <w:left w:val="nil"/>
              <w:bottom w:val="single" w:sz="8" w:space="0" w:color="auto"/>
              <w:right w:val="single" w:sz="8" w:space="0" w:color="auto"/>
            </w:tcBorders>
            <w:shd w:val="clear" w:color="auto" w:fill="auto"/>
            <w:noWrap/>
            <w:vAlign w:val="center"/>
          </w:tcPr>
          <w:p w14:paraId="724E4A81"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3,2</w:t>
            </w:r>
          </w:p>
        </w:tc>
      </w:tr>
      <w:tr w:rsidR="0079641B" w:rsidRPr="00E00086" w14:paraId="7550FA6A" w14:textId="77777777" w:rsidTr="00B85411">
        <w:trPr>
          <w:trHeight w:val="215"/>
        </w:trPr>
        <w:tc>
          <w:tcPr>
            <w:tcW w:w="6880" w:type="dxa"/>
            <w:tcBorders>
              <w:top w:val="nil"/>
              <w:left w:val="nil"/>
              <w:bottom w:val="single" w:sz="8" w:space="0" w:color="auto"/>
              <w:right w:val="nil"/>
            </w:tcBorders>
            <w:shd w:val="clear" w:color="000000" w:fill="FFFFFF"/>
            <w:noWrap/>
            <w:vAlign w:val="center"/>
            <w:hideMark/>
          </w:tcPr>
          <w:p w14:paraId="05862D57" w14:textId="77777777" w:rsidR="0079641B" w:rsidRPr="00E00086" w:rsidRDefault="0079641B" w:rsidP="00B85411">
            <w:pPr>
              <w:rPr>
                <w:rFonts w:ascii="Times New Roman" w:hAnsi="Times New Roman"/>
                <w:b/>
                <w:bCs/>
                <w:i/>
                <w:iCs/>
                <w:lang w:val="sr-Cyrl-RS"/>
              </w:rPr>
            </w:pPr>
            <w:r w:rsidRPr="00E00086">
              <w:rPr>
                <w:rFonts w:ascii="Times New Roman" w:hAnsi="Times New Roman"/>
                <w:b/>
                <w:bCs/>
                <w:i/>
                <w:iCs/>
                <w:lang w:val="sr-Cyrl-RS"/>
              </w:rPr>
              <w:t>Кретања у спољном сектору (% БДП)</w:t>
            </w:r>
          </w:p>
        </w:tc>
        <w:tc>
          <w:tcPr>
            <w:tcW w:w="960" w:type="dxa"/>
            <w:tcBorders>
              <w:top w:val="nil"/>
              <w:left w:val="nil"/>
              <w:bottom w:val="single" w:sz="8" w:space="0" w:color="auto"/>
              <w:right w:val="nil"/>
            </w:tcBorders>
            <w:shd w:val="clear" w:color="000000" w:fill="FFFFFF"/>
            <w:noWrap/>
            <w:vAlign w:val="center"/>
          </w:tcPr>
          <w:p w14:paraId="0786267F" w14:textId="77777777" w:rsidR="0079641B" w:rsidRPr="00E00086" w:rsidRDefault="0079641B" w:rsidP="00B85411">
            <w:pPr>
              <w:rPr>
                <w:rFonts w:ascii="Times New Roman" w:hAnsi="Times New Roman"/>
                <w:b/>
                <w:bCs/>
                <w:i/>
                <w:iCs/>
                <w:sz w:val="20"/>
                <w:lang w:val="sr-Cyrl-RS"/>
              </w:rPr>
            </w:pPr>
          </w:p>
        </w:tc>
        <w:tc>
          <w:tcPr>
            <w:tcW w:w="960" w:type="dxa"/>
            <w:tcBorders>
              <w:top w:val="nil"/>
              <w:left w:val="nil"/>
              <w:bottom w:val="single" w:sz="8" w:space="0" w:color="auto"/>
              <w:right w:val="single" w:sz="8" w:space="0" w:color="7F7F7F"/>
            </w:tcBorders>
            <w:shd w:val="clear" w:color="000000" w:fill="FFFFFF"/>
            <w:noWrap/>
            <w:vAlign w:val="center"/>
          </w:tcPr>
          <w:p w14:paraId="407F78FB" w14:textId="77777777" w:rsidR="0079641B" w:rsidRPr="00E00086" w:rsidRDefault="0079641B" w:rsidP="00B85411">
            <w:pPr>
              <w:rPr>
                <w:rFonts w:ascii="Times New Roman" w:hAnsi="Times New Roman"/>
                <w:b/>
                <w:bCs/>
                <w:i/>
                <w:iCs/>
                <w:sz w:val="20"/>
                <w:lang w:val="sr-Cyrl-RS"/>
              </w:rPr>
            </w:pPr>
          </w:p>
        </w:tc>
      </w:tr>
      <w:tr w:rsidR="0079641B" w:rsidRPr="00E00086" w14:paraId="47CC0C03" w14:textId="77777777" w:rsidTr="00B85411">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3EA3AE6B"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 xml:space="preserve">Салдо текућег рачуна </w:t>
            </w:r>
          </w:p>
        </w:tc>
        <w:tc>
          <w:tcPr>
            <w:tcW w:w="960" w:type="dxa"/>
            <w:tcBorders>
              <w:top w:val="nil"/>
              <w:left w:val="nil"/>
              <w:bottom w:val="single" w:sz="8" w:space="0" w:color="auto"/>
              <w:right w:val="single" w:sz="8" w:space="0" w:color="auto"/>
            </w:tcBorders>
            <w:shd w:val="clear" w:color="000000" w:fill="F2F2F2"/>
            <w:noWrap/>
            <w:vAlign w:val="center"/>
          </w:tcPr>
          <w:p w14:paraId="286706BB"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-4,4</w:t>
            </w:r>
          </w:p>
        </w:tc>
        <w:tc>
          <w:tcPr>
            <w:tcW w:w="960" w:type="dxa"/>
            <w:tcBorders>
              <w:top w:val="nil"/>
              <w:left w:val="nil"/>
              <w:bottom w:val="single" w:sz="8" w:space="0" w:color="auto"/>
              <w:right w:val="single" w:sz="8" w:space="0" w:color="auto"/>
            </w:tcBorders>
            <w:shd w:val="clear" w:color="000000" w:fill="F2F2F2"/>
            <w:noWrap/>
            <w:vAlign w:val="center"/>
          </w:tcPr>
          <w:p w14:paraId="1379EED5"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-5,2</w:t>
            </w:r>
          </w:p>
        </w:tc>
      </w:tr>
      <w:tr w:rsidR="0079641B" w:rsidRPr="00E00086" w14:paraId="5D150CD2" w14:textId="77777777" w:rsidTr="00B85411">
        <w:trPr>
          <w:trHeight w:val="215"/>
        </w:trPr>
        <w:tc>
          <w:tcPr>
            <w:tcW w:w="6880" w:type="dxa"/>
            <w:tcBorders>
              <w:top w:val="nil"/>
              <w:left w:val="nil"/>
              <w:bottom w:val="single" w:sz="8" w:space="0" w:color="auto"/>
              <w:right w:val="nil"/>
            </w:tcBorders>
            <w:shd w:val="clear" w:color="000000" w:fill="FFFFFF"/>
            <w:noWrap/>
            <w:vAlign w:val="center"/>
            <w:hideMark/>
          </w:tcPr>
          <w:p w14:paraId="79F5B67D" w14:textId="77777777" w:rsidR="0079641B" w:rsidRPr="00E00086" w:rsidRDefault="0079641B" w:rsidP="00B85411">
            <w:pPr>
              <w:rPr>
                <w:rFonts w:ascii="Times New Roman" w:hAnsi="Times New Roman"/>
                <w:b/>
                <w:bCs/>
                <w:i/>
                <w:iCs/>
                <w:lang w:val="sr-Cyrl-RS"/>
              </w:rPr>
            </w:pPr>
            <w:r w:rsidRPr="00E00086">
              <w:rPr>
                <w:rFonts w:ascii="Times New Roman" w:hAnsi="Times New Roman"/>
                <w:b/>
                <w:bCs/>
                <w:i/>
                <w:iCs/>
                <w:lang w:val="sr-Cyrl-RS"/>
              </w:rPr>
              <w:t>Јавне финансије (% БДП)</w:t>
            </w:r>
          </w:p>
        </w:tc>
        <w:tc>
          <w:tcPr>
            <w:tcW w:w="960" w:type="dxa"/>
            <w:tcBorders>
              <w:top w:val="nil"/>
              <w:left w:val="nil"/>
              <w:bottom w:val="single" w:sz="8" w:space="0" w:color="auto"/>
              <w:right w:val="nil"/>
            </w:tcBorders>
            <w:shd w:val="clear" w:color="000000" w:fill="FFFFFF"/>
            <w:noWrap/>
            <w:vAlign w:val="center"/>
          </w:tcPr>
          <w:p w14:paraId="6266CCB9" w14:textId="77777777" w:rsidR="0079641B" w:rsidRPr="00E00086" w:rsidRDefault="0079641B" w:rsidP="00B85411">
            <w:pPr>
              <w:rPr>
                <w:rFonts w:ascii="Times New Roman" w:hAnsi="Times New Roman"/>
                <w:b/>
                <w:bCs/>
                <w:i/>
                <w:iCs/>
                <w:sz w:val="20"/>
                <w:lang w:val="sr-Cyrl-RS"/>
              </w:rPr>
            </w:pPr>
          </w:p>
        </w:tc>
        <w:tc>
          <w:tcPr>
            <w:tcW w:w="960" w:type="dxa"/>
            <w:tcBorders>
              <w:top w:val="nil"/>
              <w:left w:val="nil"/>
              <w:bottom w:val="single" w:sz="8" w:space="0" w:color="auto"/>
              <w:right w:val="single" w:sz="8" w:space="0" w:color="auto"/>
            </w:tcBorders>
            <w:shd w:val="clear" w:color="000000" w:fill="FFFFFF"/>
            <w:noWrap/>
            <w:vAlign w:val="center"/>
          </w:tcPr>
          <w:p w14:paraId="1CC8C407" w14:textId="77777777" w:rsidR="0079641B" w:rsidRPr="00E00086" w:rsidRDefault="0079641B" w:rsidP="00B85411">
            <w:pPr>
              <w:rPr>
                <w:rFonts w:ascii="Times New Roman" w:hAnsi="Times New Roman"/>
                <w:b/>
                <w:bCs/>
                <w:i/>
                <w:iCs/>
                <w:sz w:val="20"/>
                <w:lang w:val="sr-Cyrl-RS"/>
              </w:rPr>
            </w:pPr>
          </w:p>
        </w:tc>
      </w:tr>
      <w:tr w:rsidR="0079641B" w:rsidRPr="00E00086" w14:paraId="19B400EC" w14:textId="77777777" w:rsidTr="00B85411">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0B99AAAF"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Фискални резултат сектора државе</w:t>
            </w:r>
          </w:p>
        </w:tc>
        <w:tc>
          <w:tcPr>
            <w:tcW w:w="960" w:type="dxa"/>
            <w:tcBorders>
              <w:top w:val="nil"/>
              <w:left w:val="nil"/>
              <w:bottom w:val="single" w:sz="8" w:space="0" w:color="auto"/>
              <w:right w:val="single" w:sz="8" w:space="0" w:color="auto"/>
            </w:tcBorders>
            <w:shd w:val="clear" w:color="000000" w:fill="F2F2F2"/>
            <w:noWrap/>
            <w:vAlign w:val="center"/>
          </w:tcPr>
          <w:p w14:paraId="2135BF9C"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-2,7</w:t>
            </w:r>
          </w:p>
        </w:tc>
        <w:tc>
          <w:tcPr>
            <w:tcW w:w="960" w:type="dxa"/>
            <w:tcBorders>
              <w:top w:val="nil"/>
              <w:left w:val="nil"/>
              <w:bottom w:val="single" w:sz="8" w:space="0" w:color="auto"/>
              <w:right w:val="single" w:sz="8" w:space="0" w:color="auto"/>
            </w:tcBorders>
            <w:shd w:val="clear" w:color="000000" w:fill="F2F2F2"/>
            <w:noWrap/>
            <w:vAlign w:val="center"/>
          </w:tcPr>
          <w:p w14:paraId="26049AD1"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-3,0</w:t>
            </w:r>
          </w:p>
        </w:tc>
      </w:tr>
      <w:tr w:rsidR="0079641B" w:rsidRPr="00E00086" w14:paraId="16F692A7" w14:textId="77777777" w:rsidTr="00B85411">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29940BAB" w14:textId="77777777" w:rsidR="0079641B" w:rsidRPr="00E00086" w:rsidRDefault="0079641B" w:rsidP="00B85411">
            <w:pPr>
              <w:rPr>
                <w:rFonts w:ascii="Times New Roman" w:hAnsi="Times New Roman"/>
                <w:i/>
                <w:iCs/>
                <w:lang w:val="sr-Cyrl-RS"/>
              </w:rPr>
            </w:pPr>
            <w:r w:rsidRPr="00E00086">
              <w:rPr>
                <w:rFonts w:ascii="Times New Roman" w:hAnsi="Times New Roman"/>
                <w:i/>
                <w:iCs/>
                <w:lang w:val="sr-Cyrl-RS"/>
              </w:rPr>
              <w:t xml:space="preserve">Јавни дуг сектора државе </w:t>
            </w:r>
          </w:p>
        </w:tc>
        <w:tc>
          <w:tcPr>
            <w:tcW w:w="960" w:type="dxa"/>
            <w:tcBorders>
              <w:top w:val="nil"/>
              <w:left w:val="nil"/>
              <w:bottom w:val="single" w:sz="8" w:space="0" w:color="auto"/>
              <w:right w:val="single" w:sz="8" w:space="0" w:color="auto"/>
            </w:tcBorders>
            <w:shd w:val="clear" w:color="auto" w:fill="auto"/>
            <w:noWrap/>
            <w:vAlign w:val="center"/>
          </w:tcPr>
          <w:p w14:paraId="2F905FDC"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47,9</w:t>
            </w:r>
          </w:p>
        </w:tc>
        <w:tc>
          <w:tcPr>
            <w:tcW w:w="960" w:type="dxa"/>
            <w:tcBorders>
              <w:top w:val="nil"/>
              <w:left w:val="nil"/>
              <w:bottom w:val="single" w:sz="8" w:space="0" w:color="auto"/>
              <w:right w:val="single" w:sz="8" w:space="0" w:color="auto"/>
            </w:tcBorders>
            <w:shd w:val="clear" w:color="auto" w:fill="auto"/>
            <w:noWrap/>
            <w:vAlign w:val="center"/>
          </w:tcPr>
          <w:p w14:paraId="50BA525D" w14:textId="77777777" w:rsidR="0079641B" w:rsidRPr="00E00086" w:rsidRDefault="0079641B" w:rsidP="00B85411">
            <w:pPr>
              <w:jc w:val="right"/>
              <w:rPr>
                <w:rFonts w:ascii="Times New Roman" w:hAnsi="Times New Roman"/>
                <w:sz w:val="20"/>
                <w:lang w:val="sr-Cyrl-RS"/>
              </w:rPr>
            </w:pPr>
            <w:r w:rsidRPr="00E00086">
              <w:rPr>
                <w:rFonts w:ascii="Times New Roman" w:hAnsi="Times New Roman"/>
                <w:sz w:val="20"/>
                <w:lang w:val="sr-Cyrl-RS"/>
              </w:rPr>
              <w:t>47,5</w:t>
            </w:r>
          </w:p>
        </w:tc>
      </w:tr>
    </w:tbl>
    <w:p w14:paraId="0C64D47B" w14:textId="77777777" w:rsidR="0079641B" w:rsidRPr="00E00086" w:rsidRDefault="0079641B" w:rsidP="0079641B">
      <w:pPr>
        <w:tabs>
          <w:tab w:val="left" w:pos="720"/>
        </w:tabs>
        <w:spacing w:after="200" w:line="276" w:lineRule="auto"/>
        <w:jc w:val="center"/>
        <w:rPr>
          <w:rFonts w:ascii="Times New Roman" w:eastAsia="Calibri" w:hAnsi="Times New Roman"/>
          <w:bCs/>
          <w:lang w:val="sr-Cyrl-RS"/>
        </w:rPr>
      </w:pPr>
    </w:p>
    <w:p w14:paraId="240011C9" w14:textId="133834EC" w:rsidR="00013BBC" w:rsidRPr="00E00086" w:rsidRDefault="00013BBC" w:rsidP="0079641B">
      <w:pPr>
        <w:tabs>
          <w:tab w:val="left" w:pos="720"/>
        </w:tabs>
        <w:spacing w:after="120"/>
        <w:rPr>
          <w:rFonts w:ascii="Times New Roman" w:hAnsi="Times New Roman"/>
          <w:lang w:val="sr-Cyrl-RS"/>
        </w:rPr>
      </w:pPr>
      <w:r w:rsidRPr="00E00086">
        <w:rPr>
          <w:rFonts w:ascii="Times New Roman" w:hAnsi="Times New Roman"/>
          <w:b/>
          <w:bCs/>
          <w:szCs w:val="24"/>
          <w:lang w:val="sr-Cyrl-RS"/>
        </w:rPr>
        <w:t>3. Образложење прихода и примања буџета</w:t>
      </w:r>
    </w:p>
    <w:p w14:paraId="1FE5EE2C" w14:textId="52EECE46" w:rsidR="00A4638F" w:rsidRPr="00E00086" w:rsidRDefault="00013BBC" w:rsidP="00A4638F">
      <w:pPr>
        <w:tabs>
          <w:tab w:val="left" w:pos="720"/>
        </w:tabs>
        <w:spacing w:after="120"/>
        <w:ind w:firstLine="709"/>
        <w:rPr>
          <w:rFonts w:ascii="Times New Roman" w:hAnsi="Times New Roman"/>
          <w:szCs w:val="24"/>
          <w:lang w:val="sr-Cyrl-RS"/>
        </w:rPr>
      </w:pPr>
      <w:r w:rsidRPr="00E00086">
        <w:rPr>
          <w:rFonts w:ascii="Times New Roman" w:hAnsi="Times New Roman"/>
          <w:szCs w:val="24"/>
          <w:lang w:val="sr-Cyrl-RS"/>
        </w:rPr>
        <w:t>Приходи и примања буџета за 2025. годину утврђена су у следећим износима:</w:t>
      </w:r>
    </w:p>
    <w:p w14:paraId="0179215F" w14:textId="1A007DC7" w:rsidR="006B6D17" w:rsidRPr="00E00086" w:rsidRDefault="00013BBC" w:rsidP="00013BBC">
      <w:pPr>
        <w:tabs>
          <w:tab w:val="left" w:pos="720"/>
          <w:tab w:val="left" w:pos="1440"/>
        </w:tabs>
        <w:rPr>
          <w:rFonts w:ascii="Times New Roman" w:hAnsi="Times New Roman"/>
          <w:lang w:val="sr-Cyrl-RS"/>
        </w:rPr>
      </w:pPr>
      <w:r w:rsidRPr="00E00086">
        <w:rPr>
          <w:rFonts w:ascii="Times New Roman" w:hAnsi="Times New Roman"/>
          <w:b/>
          <w:lang w:val="sr-Cyrl-RS"/>
        </w:rPr>
        <w:t xml:space="preserve">Приходи и примања буџета Републике Србије за </w:t>
      </w:r>
      <w:r w:rsidRPr="00E00086">
        <w:rPr>
          <w:rFonts w:ascii="Times New Roman" w:hAnsi="Times New Roman"/>
          <w:b/>
          <w:color w:val="000000" w:themeColor="text1"/>
          <w:lang w:val="sr-Cyrl-RS"/>
        </w:rPr>
        <w:t xml:space="preserve">2025. </w:t>
      </w:r>
      <w:r w:rsidRPr="00E00086">
        <w:rPr>
          <w:rFonts w:ascii="Times New Roman" w:hAnsi="Times New Roman"/>
          <w:b/>
          <w:lang w:val="sr-Cyrl-RS"/>
        </w:rPr>
        <w:t>годину</w:t>
      </w:r>
      <w:r w:rsidRPr="00E00086">
        <w:rPr>
          <w:rFonts w:ascii="Times New Roman" w:hAnsi="Times New Roman"/>
          <w:lang w:val="sr-Cyrl-RS"/>
        </w:rPr>
        <w:t xml:space="preserve"> </w:t>
      </w:r>
    </w:p>
    <w:p w14:paraId="24CB7BAB" w14:textId="77777777" w:rsidR="006B6D17" w:rsidRPr="00E00086" w:rsidRDefault="006B6D17" w:rsidP="00013BBC">
      <w:pPr>
        <w:tabs>
          <w:tab w:val="left" w:pos="720"/>
          <w:tab w:val="left" w:pos="1440"/>
        </w:tabs>
        <w:rPr>
          <w:rFonts w:ascii="Times New Roman" w:hAnsi="Times New Roman"/>
          <w:lang w:val="sr-Cyrl-RS"/>
        </w:rPr>
      </w:pPr>
    </w:p>
    <w:p w14:paraId="5800D3F1" w14:textId="482D0081" w:rsidR="00013BBC" w:rsidRPr="00E00086" w:rsidRDefault="00013BBC" w:rsidP="00013BBC">
      <w:pPr>
        <w:tabs>
          <w:tab w:val="left" w:pos="720"/>
          <w:tab w:val="left" w:pos="1440"/>
        </w:tabs>
        <w:rPr>
          <w:rFonts w:ascii="Times New Roman" w:hAnsi="Times New Roman"/>
          <w:lang w:val="sr-Cyrl-RS"/>
        </w:rPr>
      </w:pPr>
      <w:r w:rsidRPr="00E00086">
        <w:rPr>
          <w:rFonts w:ascii="Times New Roman" w:hAnsi="Times New Roman"/>
          <w:lang w:val="sr-Cyrl-RS"/>
        </w:rPr>
        <w:fldChar w:fldCharType="begin"/>
      </w:r>
      <w:r w:rsidRPr="00E00086">
        <w:rPr>
          <w:rFonts w:ascii="Times New Roman" w:hAnsi="Times New Roman"/>
          <w:lang w:val="sr-Cyrl-RS"/>
        </w:rPr>
        <w:instrText xml:space="preserve"> LINK Excel.Sheet.12 "C:\\Users\\vladimir.malbasic\\Dropbox\\Makro sektor\\2. F  I  S  K  A  L\\Budzeti obrazlozenja i excel fajlovi\\1. budžet 2023\\Budzet 2023 prihodi tabele.xlsx" "Табела 1!R3C2:R35C4" \a \f 4 \h \* MERGEFORMAT </w:instrText>
      </w:r>
      <w:r w:rsidRPr="00E00086">
        <w:rPr>
          <w:rFonts w:ascii="Times New Roman" w:hAnsi="Times New Roman"/>
          <w:lang w:val="sr-Cyrl-RS"/>
        </w:rPr>
        <w:fldChar w:fldCharType="separate"/>
      </w:r>
    </w:p>
    <w:tbl>
      <w:tblPr>
        <w:tblW w:w="9596" w:type="dxa"/>
        <w:jc w:val="center"/>
        <w:tblLayout w:type="fixed"/>
        <w:tblLook w:val="04A0" w:firstRow="1" w:lastRow="0" w:firstColumn="1" w:lastColumn="0" w:noHBand="0" w:noVBand="1"/>
      </w:tblPr>
      <w:tblGrid>
        <w:gridCol w:w="5035"/>
        <w:gridCol w:w="2142"/>
        <w:gridCol w:w="2419"/>
      </w:tblGrid>
      <w:tr w:rsidR="006B6D17" w:rsidRPr="00E00086" w14:paraId="7FFE8C32" w14:textId="77777777" w:rsidTr="00BC2583">
        <w:trPr>
          <w:trHeight w:val="20"/>
          <w:tblHeader/>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5DB8BF8E" w14:textId="77777777" w:rsidR="006B6D17" w:rsidRPr="00E00086" w:rsidRDefault="006B6D17" w:rsidP="00BC2583">
            <w:pPr>
              <w:tabs>
                <w:tab w:val="left" w:pos="1440"/>
              </w:tabs>
              <w:jc w:val="center"/>
              <w:rPr>
                <w:b/>
                <w:lang w:val="sr-Cyrl-RS"/>
              </w:rPr>
            </w:pPr>
            <w:r w:rsidRPr="00E00086">
              <w:rPr>
                <w:color w:val="000000"/>
                <w:lang w:val="sr-Cyrl-RS"/>
              </w:rPr>
              <w:t>ОПИС</w:t>
            </w:r>
          </w:p>
        </w:tc>
        <w:tc>
          <w:tcPr>
            <w:tcW w:w="2142" w:type="dxa"/>
            <w:tcBorders>
              <w:top w:val="single" w:sz="4" w:space="0" w:color="auto"/>
              <w:left w:val="nil"/>
              <w:bottom w:val="single" w:sz="4" w:space="0" w:color="auto"/>
              <w:right w:val="single" w:sz="4" w:space="0" w:color="auto"/>
            </w:tcBorders>
            <w:shd w:val="clear" w:color="auto" w:fill="auto"/>
            <w:hideMark/>
          </w:tcPr>
          <w:p w14:paraId="139995BD" w14:textId="77777777" w:rsidR="006B6D17" w:rsidRPr="00E00086" w:rsidRDefault="006B6D17" w:rsidP="00BC2583">
            <w:pPr>
              <w:tabs>
                <w:tab w:val="left" w:pos="1440"/>
              </w:tabs>
              <w:jc w:val="center"/>
              <w:rPr>
                <w:lang w:val="sr-Cyrl-RS"/>
              </w:rPr>
            </w:pPr>
            <w:r w:rsidRPr="00E00086">
              <w:rPr>
                <w:lang w:val="sr-Cyrl-RS"/>
              </w:rPr>
              <w:t>Eкономскa класификацијa</w:t>
            </w:r>
          </w:p>
        </w:tc>
        <w:tc>
          <w:tcPr>
            <w:tcW w:w="2419" w:type="dxa"/>
            <w:tcBorders>
              <w:top w:val="single" w:sz="4" w:space="0" w:color="auto"/>
              <w:left w:val="nil"/>
              <w:bottom w:val="single" w:sz="4" w:space="0" w:color="auto"/>
              <w:right w:val="single" w:sz="4" w:space="0" w:color="auto"/>
            </w:tcBorders>
            <w:shd w:val="clear" w:color="auto" w:fill="auto"/>
            <w:noWrap/>
            <w:hideMark/>
          </w:tcPr>
          <w:p w14:paraId="06121D66" w14:textId="77777777" w:rsidR="006B6D17" w:rsidRPr="00E00086" w:rsidRDefault="006B6D17" w:rsidP="00BC2583">
            <w:pPr>
              <w:tabs>
                <w:tab w:val="left" w:pos="1440"/>
              </w:tabs>
              <w:jc w:val="center"/>
              <w:rPr>
                <w:lang w:val="sr-Cyrl-RS"/>
              </w:rPr>
            </w:pPr>
            <w:r w:rsidRPr="00E00086">
              <w:rPr>
                <w:lang w:val="sr-Cyrl-RS"/>
              </w:rPr>
              <w:t>Износ у динарима</w:t>
            </w:r>
          </w:p>
        </w:tc>
      </w:tr>
      <w:tr w:rsidR="006B6D17" w:rsidRPr="00E00086" w14:paraId="780A5475"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3555891" w14:textId="77777777" w:rsidR="006B6D17" w:rsidRPr="00E00086" w:rsidRDefault="006B6D17" w:rsidP="00BC2583">
            <w:pPr>
              <w:rPr>
                <w:lang w:val="sr-Cyrl-RS"/>
              </w:rPr>
            </w:pPr>
            <w:r w:rsidRPr="00E00086">
              <w:rPr>
                <w:lang w:val="sr-Cyrl-RS"/>
              </w:rPr>
              <w:t>УКУПНИ ПРИХОДИ И ПРИМАЊА</w:t>
            </w:r>
          </w:p>
        </w:tc>
        <w:tc>
          <w:tcPr>
            <w:tcW w:w="2142" w:type="dxa"/>
            <w:tcBorders>
              <w:top w:val="nil"/>
              <w:left w:val="nil"/>
              <w:bottom w:val="single" w:sz="4" w:space="0" w:color="auto"/>
              <w:right w:val="single" w:sz="4" w:space="0" w:color="auto"/>
            </w:tcBorders>
            <w:shd w:val="clear" w:color="auto" w:fill="auto"/>
            <w:noWrap/>
            <w:hideMark/>
          </w:tcPr>
          <w:p w14:paraId="5C339CFF" w14:textId="77777777" w:rsidR="006B6D17" w:rsidRPr="00E00086" w:rsidRDefault="006B6D17" w:rsidP="00BC2583">
            <w:pPr>
              <w:rPr>
                <w:lang w:val="sr-Cyrl-RS"/>
              </w:rPr>
            </w:pPr>
          </w:p>
        </w:tc>
        <w:tc>
          <w:tcPr>
            <w:tcW w:w="2419" w:type="dxa"/>
            <w:tcBorders>
              <w:top w:val="nil"/>
              <w:left w:val="nil"/>
              <w:bottom w:val="single" w:sz="4" w:space="0" w:color="auto"/>
              <w:right w:val="single" w:sz="4" w:space="0" w:color="auto"/>
            </w:tcBorders>
            <w:shd w:val="clear" w:color="auto" w:fill="auto"/>
            <w:noWrap/>
            <w:hideMark/>
          </w:tcPr>
          <w:p w14:paraId="431AD92C" w14:textId="77777777" w:rsidR="006B6D17" w:rsidRPr="00E00086" w:rsidRDefault="006B6D17" w:rsidP="00BC2583">
            <w:pPr>
              <w:jc w:val="right"/>
              <w:rPr>
                <w:lang w:val="sr-Cyrl-RS"/>
              </w:rPr>
            </w:pPr>
            <w:r w:rsidRPr="00E00086">
              <w:rPr>
                <w:lang w:val="sr-Cyrl-RS"/>
              </w:rPr>
              <w:t>2.346.200.000.000</w:t>
            </w:r>
          </w:p>
        </w:tc>
      </w:tr>
      <w:tr w:rsidR="006B6D17" w:rsidRPr="00E00086" w14:paraId="0570231F"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F5706CA" w14:textId="77777777" w:rsidR="006B6D17" w:rsidRPr="00E00086" w:rsidRDefault="006B6D17" w:rsidP="00BC2583">
            <w:pPr>
              <w:rPr>
                <w:lang w:val="sr-Cyrl-RS"/>
              </w:rPr>
            </w:pPr>
            <w:r w:rsidRPr="00E00086">
              <w:rPr>
                <w:lang w:val="sr-Cyrl-RS"/>
              </w:rPr>
              <w:lastRenderedPageBreak/>
              <w:t>1.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08AC37A5" w14:textId="77777777" w:rsidR="006B6D17" w:rsidRPr="00E00086" w:rsidRDefault="006B6D17" w:rsidP="00BC2583">
            <w:pPr>
              <w:jc w:val="center"/>
              <w:rPr>
                <w:lang w:val="sr-Cyrl-RS"/>
              </w:rPr>
            </w:pPr>
            <w:r w:rsidRPr="00E00086">
              <w:rPr>
                <w:lang w:val="sr-Cyrl-RS"/>
              </w:rPr>
              <w:t>71</w:t>
            </w:r>
          </w:p>
        </w:tc>
        <w:tc>
          <w:tcPr>
            <w:tcW w:w="2419" w:type="dxa"/>
            <w:tcBorders>
              <w:top w:val="nil"/>
              <w:left w:val="nil"/>
              <w:bottom w:val="single" w:sz="4" w:space="0" w:color="auto"/>
              <w:right w:val="single" w:sz="4" w:space="0" w:color="auto"/>
            </w:tcBorders>
            <w:shd w:val="clear" w:color="auto" w:fill="auto"/>
            <w:noWrap/>
            <w:hideMark/>
          </w:tcPr>
          <w:p w14:paraId="51DF7AA0" w14:textId="77777777" w:rsidR="006B6D17" w:rsidRPr="00E00086" w:rsidRDefault="006B6D17" w:rsidP="00BC2583">
            <w:pPr>
              <w:jc w:val="right"/>
              <w:rPr>
                <w:lang w:val="sr-Cyrl-RS"/>
              </w:rPr>
            </w:pPr>
            <w:r w:rsidRPr="00E00086">
              <w:rPr>
                <w:lang w:val="sr-Cyrl-RS"/>
              </w:rPr>
              <w:t>1.985.100.000.000</w:t>
            </w:r>
          </w:p>
        </w:tc>
      </w:tr>
      <w:tr w:rsidR="006B6D17" w:rsidRPr="00E00086" w14:paraId="16A9B655"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A000B51" w14:textId="77777777" w:rsidR="006B6D17" w:rsidRPr="00E00086" w:rsidRDefault="006B6D17" w:rsidP="00BC2583">
            <w:pPr>
              <w:rPr>
                <w:lang w:val="sr-Cyrl-RS"/>
              </w:rPr>
            </w:pPr>
            <w:r w:rsidRPr="00E00086">
              <w:rPr>
                <w:lang w:val="sr-Cyrl-RS"/>
              </w:rPr>
              <w:t xml:space="preserve"> 1.1. Порез на доходак грађана</w:t>
            </w:r>
          </w:p>
        </w:tc>
        <w:tc>
          <w:tcPr>
            <w:tcW w:w="2142" w:type="dxa"/>
            <w:tcBorders>
              <w:top w:val="nil"/>
              <w:left w:val="nil"/>
              <w:bottom w:val="single" w:sz="4" w:space="0" w:color="auto"/>
              <w:right w:val="single" w:sz="4" w:space="0" w:color="auto"/>
            </w:tcBorders>
            <w:shd w:val="clear" w:color="auto" w:fill="auto"/>
            <w:noWrap/>
            <w:hideMark/>
          </w:tcPr>
          <w:p w14:paraId="2EBEFEF7" w14:textId="77777777" w:rsidR="006B6D17" w:rsidRPr="00E00086" w:rsidRDefault="006B6D17" w:rsidP="00BC2583">
            <w:pPr>
              <w:jc w:val="center"/>
              <w:rPr>
                <w:lang w:val="sr-Cyrl-RS"/>
              </w:rPr>
            </w:pPr>
            <w:r w:rsidRPr="00E00086">
              <w:rPr>
                <w:lang w:val="sr-Cyrl-RS"/>
              </w:rPr>
              <w:t>7111</w:t>
            </w:r>
          </w:p>
        </w:tc>
        <w:tc>
          <w:tcPr>
            <w:tcW w:w="2419" w:type="dxa"/>
            <w:tcBorders>
              <w:top w:val="nil"/>
              <w:left w:val="nil"/>
              <w:bottom w:val="single" w:sz="4" w:space="0" w:color="auto"/>
              <w:right w:val="single" w:sz="4" w:space="0" w:color="auto"/>
            </w:tcBorders>
            <w:shd w:val="clear" w:color="auto" w:fill="auto"/>
            <w:noWrap/>
            <w:hideMark/>
          </w:tcPr>
          <w:p w14:paraId="704809B7" w14:textId="77777777" w:rsidR="006B6D17" w:rsidRPr="00E00086" w:rsidRDefault="006B6D17" w:rsidP="00BC2583">
            <w:pPr>
              <w:jc w:val="right"/>
              <w:rPr>
                <w:lang w:val="sr-Cyrl-RS"/>
              </w:rPr>
            </w:pPr>
            <w:r w:rsidRPr="00E00086">
              <w:rPr>
                <w:lang w:val="sr-Cyrl-RS"/>
              </w:rPr>
              <w:t>138.400.000.000</w:t>
            </w:r>
          </w:p>
        </w:tc>
      </w:tr>
      <w:tr w:rsidR="006B6D17" w:rsidRPr="00E00086" w14:paraId="7AFC40A5"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7C4904E" w14:textId="77777777" w:rsidR="006B6D17" w:rsidRPr="00E00086" w:rsidRDefault="006B6D17" w:rsidP="00BC2583">
            <w:pPr>
              <w:rPr>
                <w:lang w:val="sr-Cyrl-RS"/>
              </w:rPr>
            </w:pPr>
            <w:r w:rsidRPr="00E00086">
              <w:rPr>
                <w:lang w:val="sr-Cyrl-RS"/>
              </w:rPr>
              <w:t xml:space="preserve"> 1.2. Порез на добит правних лица</w:t>
            </w:r>
          </w:p>
        </w:tc>
        <w:tc>
          <w:tcPr>
            <w:tcW w:w="2142" w:type="dxa"/>
            <w:tcBorders>
              <w:top w:val="nil"/>
              <w:left w:val="nil"/>
              <w:bottom w:val="single" w:sz="4" w:space="0" w:color="auto"/>
              <w:right w:val="single" w:sz="4" w:space="0" w:color="auto"/>
            </w:tcBorders>
            <w:shd w:val="clear" w:color="auto" w:fill="auto"/>
            <w:noWrap/>
            <w:hideMark/>
          </w:tcPr>
          <w:p w14:paraId="1AE0C75F" w14:textId="77777777" w:rsidR="006B6D17" w:rsidRPr="00E00086" w:rsidRDefault="006B6D17" w:rsidP="00BC2583">
            <w:pPr>
              <w:jc w:val="center"/>
              <w:rPr>
                <w:lang w:val="sr-Cyrl-RS"/>
              </w:rPr>
            </w:pPr>
            <w:r w:rsidRPr="00E00086">
              <w:rPr>
                <w:lang w:val="sr-Cyrl-RS"/>
              </w:rPr>
              <w:t>7112</w:t>
            </w:r>
          </w:p>
        </w:tc>
        <w:tc>
          <w:tcPr>
            <w:tcW w:w="2419" w:type="dxa"/>
            <w:tcBorders>
              <w:top w:val="nil"/>
              <w:left w:val="nil"/>
              <w:bottom w:val="single" w:sz="4" w:space="0" w:color="auto"/>
              <w:right w:val="single" w:sz="4" w:space="0" w:color="auto"/>
            </w:tcBorders>
            <w:shd w:val="clear" w:color="auto" w:fill="auto"/>
            <w:noWrap/>
            <w:hideMark/>
          </w:tcPr>
          <w:p w14:paraId="3C4D427B" w14:textId="77777777" w:rsidR="006B6D17" w:rsidRPr="00E00086" w:rsidRDefault="006B6D17" w:rsidP="00BC2583">
            <w:pPr>
              <w:jc w:val="right"/>
              <w:rPr>
                <w:lang w:val="sr-Cyrl-RS"/>
              </w:rPr>
            </w:pPr>
            <w:r w:rsidRPr="00E00086">
              <w:rPr>
                <w:lang w:val="sr-Cyrl-RS"/>
              </w:rPr>
              <w:t>258.800.000.000</w:t>
            </w:r>
          </w:p>
        </w:tc>
      </w:tr>
      <w:tr w:rsidR="006B6D17" w:rsidRPr="00E00086" w14:paraId="735BE9C2"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A490396" w14:textId="77777777" w:rsidR="006B6D17" w:rsidRPr="00E00086" w:rsidRDefault="006B6D17" w:rsidP="00BC2583">
            <w:pPr>
              <w:rPr>
                <w:lang w:val="sr-Cyrl-RS"/>
              </w:rPr>
            </w:pPr>
            <w:r w:rsidRPr="00E00086">
              <w:rPr>
                <w:lang w:val="sr-Cyrl-RS"/>
              </w:rPr>
              <w:t xml:space="preserve"> 1.3. Порез на додату вредност</w:t>
            </w:r>
          </w:p>
        </w:tc>
        <w:tc>
          <w:tcPr>
            <w:tcW w:w="2142" w:type="dxa"/>
            <w:tcBorders>
              <w:top w:val="nil"/>
              <w:left w:val="nil"/>
              <w:bottom w:val="single" w:sz="4" w:space="0" w:color="auto"/>
              <w:right w:val="single" w:sz="4" w:space="0" w:color="auto"/>
            </w:tcBorders>
            <w:shd w:val="clear" w:color="auto" w:fill="auto"/>
            <w:noWrap/>
            <w:hideMark/>
          </w:tcPr>
          <w:p w14:paraId="1E1B5EE5" w14:textId="77777777" w:rsidR="006B6D17" w:rsidRPr="00E00086" w:rsidRDefault="006B6D17" w:rsidP="00BC2583">
            <w:pPr>
              <w:jc w:val="center"/>
              <w:rPr>
                <w:lang w:val="sr-Cyrl-RS"/>
              </w:rPr>
            </w:pPr>
            <w:r w:rsidRPr="00E00086">
              <w:rPr>
                <w:lang w:val="sr-Cyrl-RS"/>
              </w:rPr>
              <w:t>7141</w:t>
            </w:r>
          </w:p>
        </w:tc>
        <w:tc>
          <w:tcPr>
            <w:tcW w:w="2419" w:type="dxa"/>
            <w:tcBorders>
              <w:top w:val="nil"/>
              <w:left w:val="nil"/>
              <w:bottom w:val="single" w:sz="4" w:space="0" w:color="auto"/>
              <w:right w:val="single" w:sz="4" w:space="0" w:color="auto"/>
            </w:tcBorders>
            <w:shd w:val="clear" w:color="auto" w:fill="auto"/>
            <w:noWrap/>
            <w:hideMark/>
          </w:tcPr>
          <w:p w14:paraId="1B144305" w14:textId="77777777" w:rsidR="006B6D17" w:rsidRPr="00E00086" w:rsidRDefault="006B6D17" w:rsidP="00BC2583">
            <w:pPr>
              <w:jc w:val="right"/>
              <w:rPr>
                <w:lang w:val="sr-Cyrl-RS"/>
              </w:rPr>
            </w:pPr>
            <w:r w:rsidRPr="00E00086">
              <w:rPr>
                <w:lang w:val="sr-Cyrl-RS"/>
              </w:rPr>
              <w:t>1.056.000.000.000</w:t>
            </w:r>
          </w:p>
        </w:tc>
      </w:tr>
      <w:tr w:rsidR="006B6D17" w:rsidRPr="00E00086" w14:paraId="6FF6CDD6"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hideMark/>
          </w:tcPr>
          <w:p w14:paraId="2823BA9A" w14:textId="77777777" w:rsidR="006B6D17" w:rsidRPr="00E00086" w:rsidRDefault="006B6D17" w:rsidP="00BC2583">
            <w:pPr>
              <w:rPr>
                <w:lang w:val="sr-Cyrl-RS"/>
              </w:rPr>
            </w:pPr>
            <w:r w:rsidRPr="00E00086">
              <w:rPr>
                <w:lang w:val="sr-Cyrl-RS"/>
              </w:rPr>
              <w:t xml:space="preserve"> 1.4. Акцизе</w:t>
            </w:r>
          </w:p>
        </w:tc>
        <w:tc>
          <w:tcPr>
            <w:tcW w:w="2142" w:type="dxa"/>
            <w:tcBorders>
              <w:top w:val="nil"/>
              <w:left w:val="nil"/>
              <w:bottom w:val="single" w:sz="4" w:space="0" w:color="auto"/>
              <w:right w:val="single" w:sz="4" w:space="0" w:color="auto"/>
            </w:tcBorders>
            <w:shd w:val="clear" w:color="auto" w:fill="auto"/>
            <w:hideMark/>
          </w:tcPr>
          <w:p w14:paraId="7DBA7AFC" w14:textId="77777777" w:rsidR="006B6D17" w:rsidRPr="00E00086" w:rsidRDefault="006B6D17" w:rsidP="00BC2583">
            <w:pPr>
              <w:jc w:val="center"/>
              <w:rPr>
                <w:lang w:val="sr-Cyrl-RS"/>
              </w:rPr>
            </w:pPr>
            <w:r w:rsidRPr="00E00086">
              <w:rPr>
                <w:lang w:val="sr-Cyrl-RS"/>
              </w:rPr>
              <w:t>717</w:t>
            </w:r>
          </w:p>
        </w:tc>
        <w:tc>
          <w:tcPr>
            <w:tcW w:w="2419" w:type="dxa"/>
            <w:tcBorders>
              <w:top w:val="nil"/>
              <w:left w:val="nil"/>
              <w:bottom w:val="single" w:sz="4" w:space="0" w:color="auto"/>
              <w:right w:val="single" w:sz="4" w:space="0" w:color="auto"/>
            </w:tcBorders>
            <w:shd w:val="clear" w:color="auto" w:fill="auto"/>
            <w:noWrap/>
            <w:hideMark/>
          </w:tcPr>
          <w:p w14:paraId="760D1BF7" w14:textId="77777777" w:rsidR="006B6D17" w:rsidRPr="00E00086" w:rsidRDefault="006B6D17" w:rsidP="00BC2583">
            <w:pPr>
              <w:jc w:val="right"/>
              <w:rPr>
                <w:lang w:val="sr-Cyrl-RS"/>
              </w:rPr>
            </w:pPr>
            <w:r w:rsidRPr="00E00086">
              <w:rPr>
                <w:lang w:val="sr-Cyrl-RS"/>
              </w:rPr>
              <w:t>420.000.000.000</w:t>
            </w:r>
          </w:p>
        </w:tc>
      </w:tr>
      <w:tr w:rsidR="006B6D17" w:rsidRPr="00E00086" w14:paraId="43EE31D2"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A43755D" w14:textId="77777777" w:rsidR="006B6D17" w:rsidRPr="00E00086" w:rsidRDefault="006B6D17" w:rsidP="00BC2583">
            <w:pPr>
              <w:rPr>
                <w:lang w:val="sr-Cyrl-RS"/>
              </w:rPr>
            </w:pPr>
            <w:r w:rsidRPr="00E00086">
              <w:rPr>
                <w:lang w:val="sr-Cyrl-RS"/>
              </w:rPr>
              <w:t xml:space="preserve">     - Акцизе на деривате нафте</w:t>
            </w:r>
          </w:p>
        </w:tc>
        <w:tc>
          <w:tcPr>
            <w:tcW w:w="2142" w:type="dxa"/>
            <w:tcBorders>
              <w:top w:val="nil"/>
              <w:left w:val="nil"/>
              <w:bottom w:val="single" w:sz="4" w:space="0" w:color="auto"/>
              <w:right w:val="single" w:sz="4" w:space="0" w:color="auto"/>
            </w:tcBorders>
            <w:shd w:val="clear" w:color="auto" w:fill="auto"/>
            <w:noWrap/>
            <w:hideMark/>
          </w:tcPr>
          <w:p w14:paraId="38FA5CE8" w14:textId="77777777" w:rsidR="006B6D17" w:rsidRPr="00E00086" w:rsidRDefault="006B6D17" w:rsidP="00BC2583">
            <w:pPr>
              <w:jc w:val="center"/>
              <w:rPr>
                <w:lang w:val="sr-Cyrl-RS"/>
              </w:rPr>
            </w:pPr>
          </w:p>
        </w:tc>
        <w:tc>
          <w:tcPr>
            <w:tcW w:w="2419" w:type="dxa"/>
            <w:tcBorders>
              <w:top w:val="nil"/>
              <w:left w:val="nil"/>
              <w:bottom w:val="single" w:sz="4" w:space="0" w:color="auto"/>
              <w:right w:val="single" w:sz="4" w:space="0" w:color="auto"/>
            </w:tcBorders>
            <w:shd w:val="clear" w:color="auto" w:fill="auto"/>
            <w:noWrap/>
            <w:hideMark/>
          </w:tcPr>
          <w:p w14:paraId="77CB0E3D" w14:textId="77777777" w:rsidR="006B6D17" w:rsidRPr="00E00086" w:rsidRDefault="006B6D17" w:rsidP="00BC2583">
            <w:pPr>
              <w:jc w:val="right"/>
              <w:rPr>
                <w:lang w:val="sr-Cyrl-RS"/>
              </w:rPr>
            </w:pPr>
            <w:r w:rsidRPr="00E00086">
              <w:rPr>
                <w:lang w:val="sr-Cyrl-RS"/>
              </w:rPr>
              <w:t>226.100.000.000</w:t>
            </w:r>
          </w:p>
        </w:tc>
      </w:tr>
      <w:tr w:rsidR="006B6D17" w:rsidRPr="00E00086" w14:paraId="3119C7C3"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3FA2247" w14:textId="77777777" w:rsidR="006B6D17" w:rsidRPr="00E00086" w:rsidRDefault="006B6D17" w:rsidP="00BC2583">
            <w:pPr>
              <w:rPr>
                <w:lang w:val="sr-Cyrl-RS"/>
              </w:rPr>
            </w:pPr>
            <w:r w:rsidRPr="00E00086">
              <w:rPr>
                <w:lang w:val="sr-Cyrl-RS"/>
              </w:rPr>
              <w:t xml:space="preserve">     - Акцизе на дуванске прерађевине</w:t>
            </w:r>
          </w:p>
        </w:tc>
        <w:tc>
          <w:tcPr>
            <w:tcW w:w="2142" w:type="dxa"/>
            <w:tcBorders>
              <w:top w:val="nil"/>
              <w:left w:val="nil"/>
              <w:bottom w:val="single" w:sz="4" w:space="0" w:color="auto"/>
              <w:right w:val="single" w:sz="4" w:space="0" w:color="auto"/>
            </w:tcBorders>
            <w:shd w:val="clear" w:color="auto" w:fill="auto"/>
            <w:noWrap/>
            <w:hideMark/>
          </w:tcPr>
          <w:p w14:paraId="4E01C13A" w14:textId="77777777" w:rsidR="006B6D17" w:rsidRPr="00E00086" w:rsidRDefault="006B6D17" w:rsidP="00BC2583">
            <w:pPr>
              <w:jc w:val="center"/>
              <w:rPr>
                <w:lang w:val="sr-Cyrl-RS"/>
              </w:rPr>
            </w:pPr>
          </w:p>
        </w:tc>
        <w:tc>
          <w:tcPr>
            <w:tcW w:w="2419" w:type="dxa"/>
            <w:tcBorders>
              <w:top w:val="nil"/>
              <w:left w:val="nil"/>
              <w:bottom w:val="single" w:sz="4" w:space="0" w:color="auto"/>
              <w:right w:val="single" w:sz="4" w:space="0" w:color="auto"/>
            </w:tcBorders>
            <w:shd w:val="clear" w:color="auto" w:fill="auto"/>
            <w:noWrap/>
            <w:hideMark/>
          </w:tcPr>
          <w:p w14:paraId="345EBA31" w14:textId="77777777" w:rsidR="006B6D17" w:rsidRPr="00E00086" w:rsidRDefault="006B6D17" w:rsidP="00BC2583">
            <w:pPr>
              <w:jc w:val="right"/>
              <w:rPr>
                <w:lang w:val="sr-Cyrl-RS"/>
              </w:rPr>
            </w:pPr>
            <w:r w:rsidRPr="00E00086">
              <w:rPr>
                <w:lang w:val="sr-Cyrl-RS"/>
              </w:rPr>
              <w:t>143.000.000.000</w:t>
            </w:r>
          </w:p>
        </w:tc>
      </w:tr>
      <w:tr w:rsidR="006B6D17" w:rsidRPr="00E00086" w14:paraId="272248E3"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5115523" w14:textId="77777777" w:rsidR="006B6D17" w:rsidRPr="00E00086" w:rsidRDefault="006B6D17" w:rsidP="00BC2583">
            <w:pPr>
              <w:rPr>
                <w:lang w:val="sr-Cyrl-RS"/>
              </w:rPr>
            </w:pPr>
            <w:r w:rsidRPr="00E00086">
              <w:rPr>
                <w:lang w:val="sr-Cyrl-RS"/>
              </w:rPr>
              <w:t xml:space="preserve">     - Остале акцизе</w:t>
            </w:r>
          </w:p>
        </w:tc>
        <w:tc>
          <w:tcPr>
            <w:tcW w:w="2142" w:type="dxa"/>
            <w:tcBorders>
              <w:top w:val="nil"/>
              <w:left w:val="nil"/>
              <w:bottom w:val="single" w:sz="4" w:space="0" w:color="auto"/>
              <w:right w:val="single" w:sz="4" w:space="0" w:color="auto"/>
            </w:tcBorders>
            <w:shd w:val="clear" w:color="auto" w:fill="auto"/>
            <w:noWrap/>
            <w:hideMark/>
          </w:tcPr>
          <w:p w14:paraId="44FBFCA0" w14:textId="77777777" w:rsidR="006B6D17" w:rsidRPr="00E00086" w:rsidRDefault="006B6D17" w:rsidP="00BC2583">
            <w:pPr>
              <w:jc w:val="center"/>
              <w:rPr>
                <w:lang w:val="sr-Cyrl-RS"/>
              </w:rPr>
            </w:pPr>
          </w:p>
        </w:tc>
        <w:tc>
          <w:tcPr>
            <w:tcW w:w="2419" w:type="dxa"/>
            <w:tcBorders>
              <w:top w:val="nil"/>
              <w:left w:val="nil"/>
              <w:bottom w:val="single" w:sz="4" w:space="0" w:color="auto"/>
              <w:right w:val="single" w:sz="4" w:space="0" w:color="auto"/>
            </w:tcBorders>
            <w:shd w:val="clear" w:color="auto" w:fill="auto"/>
            <w:noWrap/>
            <w:hideMark/>
          </w:tcPr>
          <w:p w14:paraId="121768F5" w14:textId="77777777" w:rsidR="006B6D17" w:rsidRPr="00E00086" w:rsidRDefault="006B6D17" w:rsidP="00BC2583">
            <w:pPr>
              <w:jc w:val="right"/>
              <w:rPr>
                <w:lang w:val="sr-Cyrl-RS"/>
              </w:rPr>
            </w:pPr>
            <w:r w:rsidRPr="00E00086">
              <w:rPr>
                <w:lang w:val="sr-Cyrl-RS"/>
              </w:rPr>
              <w:t>50.900.000.000</w:t>
            </w:r>
          </w:p>
        </w:tc>
      </w:tr>
      <w:tr w:rsidR="006B6D17" w:rsidRPr="00E00086" w14:paraId="284A8D72"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952E3AF" w14:textId="77777777" w:rsidR="006B6D17" w:rsidRPr="00E00086" w:rsidRDefault="006B6D17" w:rsidP="00BC2583">
            <w:pPr>
              <w:rPr>
                <w:lang w:val="sr-Cyrl-RS"/>
              </w:rPr>
            </w:pPr>
            <w:r w:rsidRPr="00E00086">
              <w:rPr>
                <w:lang w:val="sr-Cyrl-RS"/>
              </w:rPr>
              <w:t>1.5. Царине</w:t>
            </w:r>
          </w:p>
        </w:tc>
        <w:tc>
          <w:tcPr>
            <w:tcW w:w="2142" w:type="dxa"/>
            <w:tcBorders>
              <w:top w:val="nil"/>
              <w:left w:val="nil"/>
              <w:bottom w:val="single" w:sz="4" w:space="0" w:color="auto"/>
              <w:right w:val="single" w:sz="4" w:space="0" w:color="auto"/>
            </w:tcBorders>
            <w:shd w:val="clear" w:color="auto" w:fill="auto"/>
            <w:noWrap/>
            <w:hideMark/>
          </w:tcPr>
          <w:p w14:paraId="2BF5ABC2" w14:textId="77777777" w:rsidR="006B6D17" w:rsidRPr="00E00086" w:rsidRDefault="006B6D17" w:rsidP="00BC2583">
            <w:pPr>
              <w:jc w:val="center"/>
              <w:rPr>
                <w:lang w:val="sr-Cyrl-RS"/>
              </w:rPr>
            </w:pPr>
            <w:r w:rsidRPr="00E00086">
              <w:rPr>
                <w:lang w:val="sr-Cyrl-RS"/>
              </w:rPr>
              <w:t>715</w:t>
            </w:r>
          </w:p>
        </w:tc>
        <w:tc>
          <w:tcPr>
            <w:tcW w:w="2419" w:type="dxa"/>
            <w:tcBorders>
              <w:top w:val="nil"/>
              <w:left w:val="nil"/>
              <w:bottom w:val="single" w:sz="4" w:space="0" w:color="auto"/>
              <w:right w:val="single" w:sz="4" w:space="0" w:color="auto"/>
            </w:tcBorders>
            <w:shd w:val="clear" w:color="auto" w:fill="auto"/>
            <w:noWrap/>
            <w:hideMark/>
          </w:tcPr>
          <w:p w14:paraId="0ACAFCA2" w14:textId="77777777" w:rsidR="006B6D17" w:rsidRPr="00E00086" w:rsidRDefault="006B6D17" w:rsidP="00BC2583">
            <w:pPr>
              <w:jc w:val="right"/>
              <w:rPr>
                <w:lang w:val="sr-Cyrl-RS"/>
              </w:rPr>
            </w:pPr>
            <w:r w:rsidRPr="00E00086">
              <w:rPr>
                <w:lang w:val="sr-Cyrl-RS"/>
              </w:rPr>
              <w:t>95.300.000.000</w:t>
            </w:r>
          </w:p>
        </w:tc>
      </w:tr>
      <w:tr w:rsidR="006B6D17" w:rsidRPr="00E00086" w14:paraId="4B67B155"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F2129E7" w14:textId="77777777" w:rsidR="006B6D17" w:rsidRPr="00E00086" w:rsidRDefault="006B6D17" w:rsidP="00BC2583">
            <w:pPr>
              <w:rPr>
                <w:lang w:val="sr-Cyrl-RS"/>
              </w:rPr>
            </w:pPr>
            <w:r w:rsidRPr="00E00086">
              <w:rPr>
                <w:lang w:val="sr-Cyrl-RS"/>
              </w:rPr>
              <w:t>1.6. Остали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46515471" w14:textId="77777777" w:rsidR="006B6D17" w:rsidRPr="00E00086" w:rsidRDefault="006B6D17" w:rsidP="00BC2583">
            <w:pPr>
              <w:jc w:val="center"/>
              <w:rPr>
                <w:lang w:val="sr-Cyrl-RS"/>
              </w:rPr>
            </w:pPr>
            <w:r w:rsidRPr="00E00086">
              <w:rPr>
                <w:lang w:val="sr-Cyrl-RS"/>
              </w:rPr>
              <w:t>71</w:t>
            </w:r>
          </w:p>
        </w:tc>
        <w:tc>
          <w:tcPr>
            <w:tcW w:w="2419" w:type="dxa"/>
            <w:tcBorders>
              <w:top w:val="nil"/>
              <w:left w:val="nil"/>
              <w:bottom w:val="single" w:sz="4" w:space="0" w:color="auto"/>
              <w:right w:val="single" w:sz="4" w:space="0" w:color="auto"/>
            </w:tcBorders>
            <w:shd w:val="clear" w:color="auto" w:fill="auto"/>
            <w:noWrap/>
            <w:hideMark/>
          </w:tcPr>
          <w:p w14:paraId="39213E81" w14:textId="77777777" w:rsidR="006B6D17" w:rsidRPr="00E00086" w:rsidRDefault="006B6D17" w:rsidP="00BC2583">
            <w:pPr>
              <w:jc w:val="right"/>
              <w:rPr>
                <w:lang w:val="sr-Cyrl-RS"/>
              </w:rPr>
            </w:pPr>
            <w:r w:rsidRPr="00E00086">
              <w:rPr>
                <w:lang w:val="sr-Cyrl-RS"/>
              </w:rPr>
              <w:t>16.600.000.000</w:t>
            </w:r>
          </w:p>
        </w:tc>
      </w:tr>
      <w:tr w:rsidR="006B6D17" w:rsidRPr="00E00086" w14:paraId="0FED660D"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40AD4E1" w14:textId="77777777" w:rsidR="006B6D17" w:rsidRPr="00E00086" w:rsidRDefault="006B6D17" w:rsidP="00BC2583">
            <w:pPr>
              <w:rPr>
                <w:lang w:val="sr-Cyrl-RS"/>
              </w:rPr>
            </w:pPr>
            <w:r w:rsidRPr="00E00086">
              <w:rPr>
                <w:lang w:val="sr-Cyrl-RS"/>
              </w:rPr>
              <w:t>2. Непорески приходи и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0E95B520" w14:textId="77777777" w:rsidR="006B6D17" w:rsidRPr="00E00086" w:rsidRDefault="006B6D17" w:rsidP="00BC2583">
            <w:pPr>
              <w:jc w:val="center"/>
              <w:rPr>
                <w:lang w:val="sr-Cyrl-RS"/>
              </w:rPr>
            </w:pPr>
          </w:p>
        </w:tc>
        <w:tc>
          <w:tcPr>
            <w:tcW w:w="2419" w:type="dxa"/>
            <w:tcBorders>
              <w:top w:val="nil"/>
              <w:left w:val="nil"/>
              <w:bottom w:val="single" w:sz="4" w:space="0" w:color="auto"/>
              <w:right w:val="single" w:sz="4" w:space="0" w:color="auto"/>
            </w:tcBorders>
            <w:shd w:val="clear" w:color="auto" w:fill="auto"/>
            <w:noWrap/>
            <w:hideMark/>
          </w:tcPr>
          <w:p w14:paraId="205249FE" w14:textId="77777777" w:rsidR="006B6D17" w:rsidRPr="00E00086" w:rsidRDefault="006B6D17" w:rsidP="00BC2583">
            <w:pPr>
              <w:jc w:val="right"/>
              <w:rPr>
                <w:lang w:val="sr-Cyrl-RS"/>
              </w:rPr>
            </w:pPr>
            <w:r w:rsidRPr="00E00086">
              <w:rPr>
                <w:lang w:val="sr-Cyrl-RS"/>
              </w:rPr>
              <w:t>325.674.746.000</w:t>
            </w:r>
          </w:p>
        </w:tc>
      </w:tr>
      <w:tr w:rsidR="006B6D17" w:rsidRPr="00E00086" w14:paraId="30FAE4CD"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170ACDC" w14:textId="77777777" w:rsidR="006B6D17" w:rsidRPr="00E00086" w:rsidRDefault="006B6D17" w:rsidP="00BC2583">
            <w:pPr>
              <w:ind w:firstLine="284"/>
              <w:rPr>
                <w:lang w:val="sr-Cyrl-RS"/>
              </w:rPr>
            </w:pPr>
            <w:r w:rsidRPr="00E00086">
              <w:rPr>
                <w:lang w:val="sr-Cyrl-RS"/>
              </w:rPr>
              <w:t xml:space="preserve">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7AA426DF" w14:textId="77777777" w:rsidR="006B6D17" w:rsidRPr="00E00086" w:rsidRDefault="006B6D17" w:rsidP="00BC2583">
            <w:pPr>
              <w:jc w:val="center"/>
              <w:rPr>
                <w:lang w:val="sr-Cyrl-RS"/>
              </w:rPr>
            </w:pPr>
          </w:p>
        </w:tc>
        <w:tc>
          <w:tcPr>
            <w:tcW w:w="2419" w:type="dxa"/>
            <w:tcBorders>
              <w:top w:val="nil"/>
              <w:left w:val="nil"/>
              <w:bottom w:val="single" w:sz="4" w:space="0" w:color="auto"/>
              <w:right w:val="single" w:sz="4" w:space="0" w:color="auto"/>
            </w:tcBorders>
            <w:shd w:val="clear" w:color="auto" w:fill="auto"/>
            <w:noWrap/>
            <w:hideMark/>
          </w:tcPr>
          <w:p w14:paraId="067426A3" w14:textId="77777777" w:rsidR="006B6D17" w:rsidRPr="00E00086" w:rsidRDefault="006B6D17" w:rsidP="00BC2583">
            <w:pPr>
              <w:jc w:val="right"/>
              <w:rPr>
                <w:lang w:val="sr-Cyrl-RS"/>
              </w:rPr>
            </w:pPr>
            <w:r w:rsidRPr="00E00086">
              <w:rPr>
                <w:lang w:val="sr-Cyrl-RS"/>
              </w:rPr>
              <w:t>300.174.746.000</w:t>
            </w:r>
          </w:p>
        </w:tc>
      </w:tr>
      <w:tr w:rsidR="006B6D17" w:rsidRPr="00E00086" w14:paraId="6EEB577E" w14:textId="77777777" w:rsidTr="00BC2583">
        <w:trPr>
          <w:trHeight w:val="20"/>
          <w:jc w:val="center"/>
        </w:trPr>
        <w:tc>
          <w:tcPr>
            <w:tcW w:w="5035" w:type="dxa"/>
            <w:tcBorders>
              <w:top w:val="nil"/>
              <w:left w:val="single" w:sz="4" w:space="0" w:color="auto"/>
              <w:bottom w:val="nil"/>
              <w:right w:val="single" w:sz="4" w:space="0" w:color="auto"/>
            </w:tcBorders>
            <w:shd w:val="clear" w:color="auto" w:fill="auto"/>
            <w:noWrap/>
            <w:hideMark/>
          </w:tcPr>
          <w:p w14:paraId="24285F0C" w14:textId="77777777" w:rsidR="006B6D17" w:rsidRPr="00E00086" w:rsidRDefault="006B6D17" w:rsidP="00BC2583">
            <w:pPr>
              <w:ind w:firstLine="454"/>
              <w:rPr>
                <w:lang w:val="sr-Cyrl-RS"/>
              </w:rPr>
            </w:pPr>
            <w:r w:rsidRPr="00E00086">
              <w:rPr>
                <w:lang w:val="sr-Cyrl-RS"/>
              </w:rPr>
              <w:t>- Приходи од имовине</w:t>
            </w:r>
          </w:p>
        </w:tc>
        <w:tc>
          <w:tcPr>
            <w:tcW w:w="2142" w:type="dxa"/>
            <w:tcBorders>
              <w:top w:val="nil"/>
              <w:left w:val="nil"/>
              <w:bottom w:val="nil"/>
              <w:right w:val="nil"/>
            </w:tcBorders>
            <w:shd w:val="clear" w:color="auto" w:fill="auto"/>
            <w:noWrap/>
            <w:hideMark/>
          </w:tcPr>
          <w:p w14:paraId="3BD30948" w14:textId="77777777" w:rsidR="006B6D17" w:rsidRPr="00E00086" w:rsidRDefault="006B6D17" w:rsidP="00BC2583">
            <w:pPr>
              <w:jc w:val="center"/>
              <w:rPr>
                <w:lang w:val="sr-Cyrl-RS"/>
              </w:rPr>
            </w:pPr>
            <w:r w:rsidRPr="00E00086">
              <w:rPr>
                <w:lang w:val="sr-Cyrl-RS"/>
              </w:rPr>
              <w:t>741</w:t>
            </w:r>
          </w:p>
        </w:tc>
        <w:tc>
          <w:tcPr>
            <w:tcW w:w="2419" w:type="dxa"/>
            <w:tcBorders>
              <w:top w:val="nil"/>
              <w:left w:val="single" w:sz="4" w:space="0" w:color="auto"/>
              <w:bottom w:val="single" w:sz="4" w:space="0" w:color="auto"/>
              <w:right w:val="single" w:sz="4" w:space="0" w:color="auto"/>
            </w:tcBorders>
            <w:shd w:val="clear" w:color="auto" w:fill="auto"/>
            <w:noWrap/>
            <w:hideMark/>
          </w:tcPr>
          <w:p w14:paraId="2A17D24B" w14:textId="77777777" w:rsidR="006B6D17" w:rsidRPr="00E00086" w:rsidRDefault="006B6D17" w:rsidP="00BC2583">
            <w:pPr>
              <w:jc w:val="right"/>
              <w:rPr>
                <w:lang w:val="sr-Cyrl-RS"/>
              </w:rPr>
            </w:pPr>
            <w:r w:rsidRPr="00E00086">
              <w:rPr>
                <w:lang w:val="sr-Cyrl-RS"/>
              </w:rPr>
              <w:t>84.200.000.000</w:t>
            </w:r>
          </w:p>
        </w:tc>
      </w:tr>
      <w:tr w:rsidR="006B6D17" w:rsidRPr="00E00086" w14:paraId="2C6F905C" w14:textId="77777777" w:rsidTr="00BC2583">
        <w:trPr>
          <w:trHeight w:val="20"/>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55886B37" w14:textId="77777777" w:rsidR="006B6D17" w:rsidRPr="00E00086" w:rsidRDefault="006B6D17" w:rsidP="00BC2583">
            <w:pPr>
              <w:ind w:firstLine="454"/>
              <w:rPr>
                <w:lang w:val="sr-Cyrl-RS"/>
              </w:rPr>
            </w:pPr>
            <w:r w:rsidRPr="00E00086">
              <w:rPr>
                <w:lang w:val="sr-Cyrl-RS"/>
              </w:rPr>
              <w:t>- Таксе</w:t>
            </w:r>
          </w:p>
        </w:tc>
        <w:tc>
          <w:tcPr>
            <w:tcW w:w="2142" w:type="dxa"/>
            <w:tcBorders>
              <w:top w:val="single" w:sz="4" w:space="0" w:color="auto"/>
              <w:left w:val="nil"/>
              <w:bottom w:val="single" w:sz="4" w:space="0" w:color="auto"/>
              <w:right w:val="single" w:sz="4" w:space="0" w:color="auto"/>
            </w:tcBorders>
            <w:shd w:val="clear" w:color="auto" w:fill="auto"/>
            <w:noWrap/>
            <w:hideMark/>
          </w:tcPr>
          <w:p w14:paraId="6D86134A" w14:textId="77777777" w:rsidR="006B6D17" w:rsidRPr="00E00086" w:rsidRDefault="006B6D17" w:rsidP="00BC2583">
            <w:pPr>
              <w:jc w:val="center"/>
              <w:rPr>
                <w:lang w:val="sr-Cyrl-RS"/>
              </w:rPr>
            </w:pPr>
            <w:r w:rsidRPr="00E00086">
              <w:rPr>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4B9EF6D1" w14:textId="77777777" w:rsidR="006B6D17" w:rsidRPr="00E00086" w:rsidRDefault="006B6D17" w:rsidP="00BC2583">
            <w:pPr>
              <w:jc w:val="right"/>
              <w:rPr>
                <w:lang w:val="sr-Cyrl-RS"/>
              </w:rPr>
            </w:pPr>
            <w:r w:rsidRPr="00E00086">
              <w:rPr>
                <w:lang w:val="sr-Cyrl-RS"/>
              </w:rPr>
              <w:t>25.500.000.000</w:t>
            </w:r>
          </w:p>
        </w:tc>
      </w:tr>
      <w:tr w:rsidR="006B6D17" w:rsidRPr="00E00086" w14:paraId="099BAC30"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F01EA7E" w14:textId="77777777" w:rsidR="006B6D17" w:rsidRPr="00E00086" w:rsidRDefault="006B6D17" w:rsidP="00BC2583">
            <w:pPr>
              <w:ind w:firstLine="454"/>
              <w:rPr>
                <w:lang w:val="sr-Cyrl-RS"/>
              </w:rPr>
            </w:pPr>
            <w:r w:rsidRPr="00E00086">
              <w:rPr>
                <w:lang w:val="sr-Cyrl-R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178DD225" w14:textId="77777777" w:rsidR="006B6D17" w:rsidRPr="00E00086" w:rsidRDefault="006B6D17" w:rsidP="00BC2583">
            <w:pPr>
              <w:jc w:val="center"/>
              <w:rPr>
                <w:lang w:val="sr-Cyrl-RS"/>
              </w:rPr>
            </w:pPr>
            <w:r w:rsidRPr="00E00086">
              <w:rPr>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36C39E46" w14:textId="77777777" w:rsidR="006B6D17" w:rsidRPr="00E00086" w:rsidRDefault="006B6D17" w:rsidP="00BC2583">
            <w:pPr>
              <w:jc w:val="right"/>
              <w:rPr>
                <w:lang w:val="sr-Cyrl-RS"/>
              </w:rPr>
            </w:pPr>
            <w:r w:rsidRPr="00E00086">
              <w:rPr>
                <w:lang w:val="sr-Cyrl-RS"/>
              </w:rPr>
              <w:t>75.900.000.000</w:t>
            </w:r>
          </w:p>
        </w:tc>
      </w:tr>
      <w:tr w:rsidR="006B6D17" w:rsidRPr="00E00086" w14:paraId="7D80C6E5"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4296F3A" w14:textId="77777777" w:rsidR="006B6D17" w:rsidRPr="00E00086" w:rsidRDefault="006B6D17" w:rsidP="00BC2583">
            <w:pPr>
              <w:ind w:firstLine="454"/>
              <w:rPr>
                <w:lang w:val="sr-Cyrl-RS"/>
              </w:rPr>
            </w:pPr>
            <w:r w:rsidRPr="00E00086">
              <w:rPr>
                <w:lang w:val="sr-Cyrl-RS"/>
              </w:rPr>
              <w:t>- Новчане казне</w:t>
            </w:r>
          </w:p>
        </w:tc>
        <w:tc>
          <w:tcPr>
            <w:tcW w:w="2142" w:type="dxa"/>
            <w:tcBorders>
              <w:top w:val="nil"/>
              <w:left w:val="nil"/>
              <w:bottom w:val="single" w:sz="4" w:space="0" w:color="auto"/>
              <w:right w:val="single" w:sz="4" w:space="0" w:color="auto"/>
            </w:tcBorders>
            <w:shd w:val="clear" w:color="auto" w:fill="auto"/>
            <w:noWrap/>
            <w:hideMark/>
          </w:tcPr>
          <w:p w14:paraId="349CC9FB" w14:textId="77777777" w:rsidR="006B6D17" w:rsidRPr="00E00086" w:rsidRDefault="006B6D17" w:rsidP="00BC2583">
            <w:pPr>
              <w:jc w:val="center"/>
              <w:rPr>
                <w:lang w:val="sr-Cyrl-RS"/>
              </w:rPr>
            </w:pPr>
            <w:r w:rsidRPr="00E00086">
              <w:rPr>
                <w:lang w:val="sr-Cyrl-RS"/>
              </w:rPr>
              <w:t>743</w:t>
            </w:r>
          </w:p>
        </w:tc>
        <w:tc>
          <w:tcPr>
            <w:tcW w:w="2419" w:type="dxa"/>
            <w:tcBorders>
              <w:top w:val="nil"/>
              <w:left w:val="nil"/>
              <w:bottom w:val="single" w:sz="4" w:space="0" w:color="auto"/>
              <w:right w:val="single" w:sz="4" w:space="0" w:color="auto"/>
            </w:tcBorders>
            <w:shd w:val="clear" w:color="auto" w:fill="auto"/>
            <w:noWrap/>
            <w:hideMark/>
          </w:tcPr>
          <w:p w14:paraId="7DFD67B7" w14:textId="77777777" w:rsidR="006B6D17" w:rsidRPr="00E00086" w:rsidRDefault="006B6D17" w:rsidP="00BC2583">
            <w:pPr>
              <w:jc w:val="right"/>
              <w:rPr>
                <w:lang w:val="sr-Cyrl-RS"/>
              </w:rPr>
            </w:pPr>
            <w:r w:rsidRPr="00E00086">
              <w:rPr>
                <w:lang w:val="sr-Cyrl-RS"/>
              </w:rPr>
              <w:t>16.600.000.000</w:t>
            </w:r>
          </w:p>
        </w:tc>
      </w:tr>
      <w:tr w:rsidR="006B6D17" w:rsidRPr="00E00086" w14:paraId="47821502"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05B434A" w14:textId="77777777" w:rsidR="006B6D17" w:rsidRPr="00E00086" w:rsidRDefault="006B6D17" w:rsidP="00BC2583">
            <w:pPr>
              <w:ind w:firstLine="454"/>
              <w:rPr>
                <w:lang w:val="sr-Cyrl-RS"/>
              </w:rPr>
            </w:pPr>
            <w:r w:rsidRPr="00E00086">
              <w:rPr>
                <w:lang w:val="sr-Cyrl-RS"/>
              </w:rPr>
              <w:t>- Oстали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583150B6" w14:textId="77777777" w:rsidR="006B6D17" w:rsidRPr="00E00086" w:rsidRDefault="006B6D17" w:rsidP="00BC2583">
            <w:pPr>
              <w:jc w:val="center"/>
              <w:rPr>
                <w:lang w:val="sr-Cyrl-RS"/>
              </w:rPr>
            </w:pPr>
            <w:r w:rsidRPr="00E00086">
              <w:rPr>
                <w:lang w:val="sr-Cyrl-RS"/>
              </w:rPr>
              <w:t>71,73,74</w:t>
            </w:r>
          </w:p>
        </w:tc>
        <w:tc>
          <w:tcPr>
            <w:tcW w:w="2419" w:type="dxa"/>
            <w:tcBorders>
              <w:top w:val="nil"/>
              <w:left w:val="nil"/>
              <w:bottom w:val="single" w:sz="4" w:space="0" w:color="auto"/>
              <w:right w:val="single" w:sz="4" w:space="0" w:color="auto"/>
            </w:tcBorders>
            <w:shd w:val="clear" w:color="auto" w:fill="auto"/>
            <w:noWrap/>
            <w:hideMark/>
          </w:tcPr>
          <w:p w14:paraId="76F2465B" w14:textId="77777777" w:rsidR="006B6D17" w:rsidRPr="00E00086" w:rsidRDefault="006B6D17" w:rsidP="00BC2583">
            <w:pPr>
              <w:jc w:val="right"/>
              <w:rPr>
                <w:lang w:val="sr-Cyrl-RS"/>
              </w:rPr>
            </w:pPr>
            <w:r w:rsidRPr="00E00086">
              <w:rPr>
                <w:lang w:val="sr-Cyrl-RS"/>
              </w:rPr>
              <w:t>85.174.746.000</w:t>
            </w:r>
          </w:p>
        </w:tc>
      </w:tr>
      <w:tr w:rsidR="006B6D17" w:rsidRPr="00E00086" w14:paraId="7E970CB8"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46CC29E" w14:textId="77777777" w:rsidR="006B6D17" w:rsidRPr="00E00086" w:rsidRDefault="006B6D17" w:rsidP="00BC2583">
            <w:pPr>
              <w:ind w:firstLine="454"/>
              <w:rPr>
                <w:lang w:val="sr-Cyrl-RS"/>
              </w:rPr>
            </w:pPr>
            <w:r w:rsidRPr="00E00086">
              <w:rPr>
                <w:lang w:val="sr-Cyrl-RS"/>
              </w:rPr>
              <w:t>-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3B731FE2" w14:textId="77777777" w:rsidR="006B6D17" w:rsidRPr="00E00086" w:rsidRDefault="006B6D17" w:rsidP="00BC2583">
            <w:pPr>
              <w:jc w:val="center"/>
              <w:rPr>
                <w:lang w:val="sr-Cyrl-RS"/>
              </w:rPr>
            </w:pPr>
          </w:p>
          <w:p w14:paraId="4A9AFDF0" w14:textId="77777777" w:rsidR="006B6D17" w:rsidRPr="00E00086" w:rsidRDefault="006B6D17" w:rsidP="00BC2583">
            <w:pPr>
              <w:jc w:val="center"/>
              <w:rPr>
                <w:lang w:val="sr-Cyrl-RS"/>
              </w:rPr>
            </w:pPr>
            <w:r w:rsidRPr="00E00086">
              <w:rPr>
                <w:lang w:val="sr-Cyrl-RS"/>
              </w:rPr>
              <w:t>8</w:t>
            </w:r>
          </w:p>
        </w:tc>
        <w:tc>
          <w:tcPr>
            <w:tcW w:w="2419" w:type="dxa"/>
            <w:tcBorders>
              <w:top w:val="nil"/>
              <w:left w:val="nil"/>
              <w:bottom w:val="single" w:sz="4" w:space="0" w:color="auto"/>
              <w:right w:val="single" w:sz="4" w:space="0" w:color="auto"/>
            </w:tcBorders>
            <w:shd w:val="clear" w:color="auto" w:fill="auto"/>
            <w:noWrap/>
            <w:hideMark/>
          </w:tcPr>
          <w:p w14:paraId="370CBC0D" w14:textId="77777777" w:rsidR="006B6D17" w:rsidRPr="00E00086" w:rsidRDefault="006B6D17" w:rsidP="00BC2583">
            <w:pPr>
              <w:jc w:val="right"/>
              <w:rPr>
                <w:lang w:val="sr-Cyrl-RS"/>
              </w:rPr>
            </w:pPr>
            <w:r w:rsidRPr="00E00086">
              <w:rPr>
                <w:lang w:val="sr-Cyrl-RS"/>
              </w:rPr>
              <w:t>12.800.000.000</w:t>
            </w:r>
          </w:p>
        </w:tc>
      </w:tr>
      <w:tr w:rsidR="006B6D17" w:rsidRPr="00E00086" w14:paraId="074C5FF6"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3CFF26C" w14:textId="77777777" w:rsidR="006B6D17" w:rsidRPr="00E00086" w:rsidRDefault="006B6D17" w:rsidP="00BC2583">
            <w:pPr>
              <w:ind w:firstLine="284"/>
              <w:rPr>
                <w:lang w:val="sr-Cyrl-RS"/>
              </w:rPr>
            </w:pPr>
            <w:r w:rsidRPr="00E00086">
              <w:rPr>
                <w:lang w:val="sr-Cyrl-RS"/>
              </w:rPr>
              <w:t xml:space="preserve">   Ванредни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5B93CB36" w14:textId="77777777" w:rsidR="006B6D17" w:rsidRPr="00E00086" w:rsidRDefault="006B6D17" w:rsidP="00BC2583">
            <w:pPr>
              <w:jc w:val="center"/>
              <w:rPr>
                <w:lang w:val="sr-Cyrl-RS"/>
              </w:rPr>
            </w:pPr>
          </w:p>
        </w:tc>
        <w:tc>
          <w:tcPr>
            <w:tcW w:w="2419" w:type="dxa"/>
            <w:tcBorders>
              <w:top w:val="nil"/>
              <w:left w:val="nil"/>
              <w:bottom w:val="single" w:sz="4" w:space="0" w:color="auto"/>
              <w:right w:val="single" w:sz="4" w:space="0" w:color="auto"/>
            </w:tcBorders>
            <w:shd w:val="clear" w:color="auto" w:fill="auto"/>
            <w:noWrap/>
            <w:hideMark/>
          </w:tcPr>
          <w:p w14:paraId="4FE7B660" w14:textId="77777777" w:rsidR="006B6D17" w:rsidRPr="00E00086" w:rsidRDefault="006B6D17" w:rsidP="00BC2583">
            <w:pPr>
              <w:jc w:val="right"/>
              <w:rPr>
                <w:lang w:val="sr-Cyrl-RS"/>
              </w:rPr>
            </w:pPr>
            <w:r w:rsidRPr="00E00086">
              <w:rPr>
                <w:lang w:val="sr-Cyrl-RS"/>
              </w:rPr>
              <w:t>25.500.000.000</w:t>
            </w:r>
          </w:p>
        </w:tc>
      </w:tr>
      <w:tr w:rsidR="006B6D17" w:rsidRPr="00E00086" w14:paraId="7884E2ED"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80A271A" w14:textId="77777777" w:rsidR="006B6D17" w:rsidRPr="00E00086" w:rsidRDefault="006B6D17" w:rsidP="00BC2583">
            <w:pPr>
              <w:ind w:firstLine="454"/>
              <w:rPr>
                <w:lang w:val="sr-Cyrl-RS"/>
              </w:rPr>
            </w:pPr>
            <w:r w:rsidRPr="00E00086">
              <w:rPr>
                <w:lang w:val="sr-Cyrl-RS"/>
              </w:rPr>
              <w:t>- Добит јавних агенција</w:t>
            </w:r>
          </w:p>
        </w:tc>
        <w:tc>
          <w:tcPr>
            <w:tcW w:w="2142" w:type="dxa"/>
            <w:tcBorders>
              <w:top w:val="nil"/>
              <w:left w:val="nil"/>
              <w:bottom w:val="single" w:sz="4" w:space="0" w:color="auto"/>
              <w:right w:val="single" w:sz="4" w:space="0" w:color="auto"/>
            </w:tcBorders>
            <w:shd w:val="clear" w:color="auto" w:fill="auto"/>
            <w:noWrap/>
            <w:hideMark/>
          </w:tcPr>
          <w:p w14:paraId="588AD5E7" w14:textId="77777777" w:rsidR="006B6D17" w:rsidRPr="00E00086" w:rsidRDefault="006B6D17" w:rsidP="00BC2583">
            <w:pPr>
              <w:jc w:val="center"/>
              <w:rPr>
                <w:lang w:val="sr-Cyrl-RS"/>
              </w:rPr>
            </w:pPr>
            <w:r w:rsidRPr="00E00086">
              <w:rPr>
                <w:lang w:val="sr-Cyrl-RS"/>
              </w:rPr>
              <w:t>741</w:t>
            </w:r>
          </w:p>
        </w:tc>
        <w:tc>
          <w:tcPr>
            <w:tcW w:w="2419" w:type="dxa"/>
            <w:tcBorders>
              <w:top w:val="nil"/>
              <w:left w:val="nil"/>
              <w:bottom w:val="single" w:sz="4" w:space="0" w:color="auto"/>
              <w:right w:val="single" w:sz="4" w:space="0" w:color="auto"/>
            </w:tcBorders>
            <w:shd w:val="clear" w:color="auto" w:fill="auto"/>
            <w:noWrap/>
            <w:hideMark/>
          </w:tcPr>
          <w:p w14:paraId="613CE75E" w14:textId="77777777" w:rsidR="006B6D17" w:rsidRPr="00E00086" w:rsidRDefault="006B6D17" w:rsidP="00BC2583">
            <w:pPr>
              <w:jc w:val="right"/>
              <w:rPr>
                <w:lang w:val="sr-Cyrl-RS"/>
              </w:rPr>
            </w:pPr>
            <w:r w:rsidRPr="00E00086">
              <w:rPr>
                <w:lang w:val="sr-Cyrl-RS"/>
              </w:rPr>
              <w:t>2.500.000.000</w:t>
            </w:r>
          </w:p>
        </w:tc>
      </w:tr>
      <w:tr w:rsidR="006B6D17" w:rsidRPr="00E00086" w14:paraId="107A3150"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D029FE0" w14:textId="77777777" w:rsidR="006B6D17" w:rsidRPr="00E00086" w:rsidRDefault="006B6D17" w:rsidP="00BC2583">
            <w:pPr>
              <w:ind w:firstLine="454"/>
              <w:rPr>
                <w:lang w:val="sr-Cyrl-RS"/>
              </w:rPr>
            </w:pPr>
            <w:r w:rsidRPr="00E00086">
              <w:rPr>
                <w:lang w:val="sr-Cyrl-RS"/>
              </w:rPr>
              <w:t>- Део добити јавних предузећа и дивиденде буџета</w:t>
            </w:r>
          </w:p>
        </w:tc>
        <w:tc>
          <w:tcPr>
            <w:tcW w:w="2142" w:type="dxa"/>
            <w:tcBorders>
              <w:top w:val="nil"/>
              <w:left w:val="nil"/>
              <w:bottom w:val="single" w:sz="4" w:space="0" w:color="auto"/>
              <w:right w:val="single" w:sz="4" w:space="0" w:color="auto"/>
            </w:tcBorders>
            <w:shd w:val="clear" w:color="auto" w:fill="auto"/>
            <w:noWrap/>
            <w:hideMark/>
          </w:tcPr>
          <w:p w14:paraId="08BC1EEF" w14:textId="77777777" w:rsidR="006B6D17" w:rsidRPr="00E00086" w:rsidRDefault="006B6D17" w:rsidP="00BC2583">
            <w:pPr>
              <w:jc w:val="center"/>
              <w:rPr>
                <w:lang w:val="sr-Cyrl-RS"/>
              </w:rPr>
            </w:pPr>
          </w:p>
          <w:p w14:paraId="33FB6009" w14:textId="77777777" w:rsidR="006B6D17" w:rsidRPr="00E00086" w:rsidRDefault="006B6D17" w:rsidP="00BC2583">
            <w:pPr>
              <w:jc w:val="center"/>
              <w:rPr>
                <w:lang w:val="sr-Cyrl-RS"/>
              </w:rPr>
            </w:pPr>
            <w:r w:rsidRPr="00E00086">
              <w:rPr>
                <w:lang w:val="sr-Cyrl-RS"/>
              </w:rPr>
              <w:t>741, 745</w:t>
            </w:r>
          </w:p>
        </w:tc>
        <w:tc>
          <w:tcPr>
            <w:tcW w:w="2419" w:type="dxa"/>
            <w:tcBorders>
              <w:top w:val="nil"/>
              <w:left w:val="nil"/>
              <w:bottom w:val="single" w:sz="4" w:space="0" w:color="auto"/>
              <w:right w:val="single" w:sz="4" w:space="0" w:color="auto"/>
            </w:tcBorders>
            <w:shd w:val="clear" w:color="auto" w:fill="auto"/>
            <w:noWrap/>
            <w:hideMark/>
          </w:tcPr>
          <w:p w14:paraId="4DA00F5D" w14:textId="77777777" w:rsidR="006B6D17" w:rsidRPr="00E00086" w:rsidRDefault="006B6D17" w:rsidP="00BC2583">
            <w:pPr>
              <w:jc w:val="right"/>
              <w:rPr>
                <w:lang w:val="sr-Cyrl-RS"/>
              </w:rPr>
            </w:pPr>
            <w:r w:rsidRPr="00E00086">
              <w:rPr>
                <w:lang w:val="sr-Cyrl-RS"/>
              </w:rPr>
              <w:t>12.000.000.000</w:t>
            </w:r>
          </w:p>
        </w:tc>
      </w:tr>
      <w:tr w:rsidR="006B6D17" w:rsidRPr="00E00086" w14:paraId="3DA5249B"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AC28B53" w14:textId="77777777" w:rsidR="006B6D17" w:rsidRPr="00E00086" w:rsidRDefault="006B6D17" w:rsidP="00BC2583">
            <w:pPr>
              <w:ind w:firstLine="454"/>
              <w:rPr>
                <w:lang w:val="sr-Cyrl-RS"/>
              </w:rPr>
            </w:pPr>
            <w:r w:rsidRPr="00E00086">
              <w:rPr>
                <w:lang w:val="sr-Cyrl-RS"/>
              </w:rPr>
              <w:t>- Остали ванредни приходи</w:t>
            </w:r>
          </w:p>
        </w:tc>
        <w:tc>
          <w:tcPr>
            <w:tcW w:w="2142" w:type="dxa"/>
            <w:tcBorders>
              <w:top w:val="nil"/>
              <w:left w:val="nil"/>
              <w:bottom w:val="single" w:sz="4" w:space="0" w:color="auto"/>
              <w:right w:val="single" w:sz="4" w:space="0" w:color="auto"/>
            </w:tcBorders>
            <w:shd w:val="clear" w:color="auto" w:fill="auto"/>
            <w:noWrap/>
            <w:hideMark/>
          </w:tcPr>
          <w:p w14:paraId="5467D102" w14:textId="77777777" w:rsidR="006B6D17" w:rsidRPr="00E00086" w:rsidRDefault="006B6D17" w:rsidP="00BC2583">
            <w:pPr>
              <w:jc w:val="center"/>
              <w:rPr>
                <w:lang w:val="sr-Cyrl-RS"/>
              </w:rPr>
            </w:pPr>
            <w:r w:rsidRPr="00E00086">
              <w:rPr>
                <w:lang w:val="sr-Cyrl-RS"/>
              </w:rPr>
              <w:t>74, 77, 78</w:t>
            </w:r>
          </w:p>
        </w:tc>
        <w:tc>
          <w:tcPr>
            <w:tcW w:w="2419" w:type="dxa"/>
            <w:tcBorders>
              <w:top w:val="nil"/>
              <w:left w:val="nil"/>
              <w:bottom w:val="single" w:sz="4" w:space="0" w:color="auto"/>
              <w:right w:val="single" w:sz="4" w:space="0" w:color="auto"/>
            </w:tcBorders>
            <w:shd w:val="clear" w:color="auto" w:fill="auto"/>
            <w:noWrap/>
            <w:hideMark/>
          </w:tcPr>
          <w:p w14:paraId="2DCA1C1C" w14:textId="77777777" w:rsidR="006B6D17" w:rsidRPr="00E00086" w:rsidRDefault="006B6D17" w:rsidP="00BC2583">
            <w:pPr>
              <w:jc w:val="right"/>
              <w:rPr>
                <w:lang w:val="sr-Cyrl-RS"/>
              </w:rPr>
            </w:pPr>
            <w:r w:rsidRPr="00E00086">
              <w:rPr>
                <w:lang w:val="sr-Cyrl-RS"/>
              </w:rPr>
              <w:t>11.000.000.000</w:t>
            </w:r>
          </w:p>
        </w:tc>
      </w:tr>
      <w:tr w:rsidR="006B6D17" w:rsidRPr="00E00086" w14:paraId="02E659A8" w14:textId="77777777" w:rsidTr="00BC2583">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37A1E43" w14:textId="77777777" w:rsidR="006B6D17" w:rsidRPr="00E00086" w:rsidRDefault="006B6D17" w:rsidP="00BC2583">
            <w:pPr>
              <w:rPr>
                <w:lang w:val="sr-Cyrl-RS"/>
              </w:rPr>
            </w:pPr>
            <w:r w:rsidRPr="00E00086">
              <w:rPr>
                <w:lang w:val="sr-Cyrl-RS"/>
              </w:rPr>
              <w:t>3. Донације</w:t>
            </w:r>
          </w:p>
        </w:tc>
        <w:tc>
          <w:tcPr>
            <w:tcW w:w="2142" w:type="dxa"/>
            <w:tcBorders>
              <w:top w:val="nil"/>
              <w:left w:val="nil"/>
              <w:bottom w:val="single" w:sz="4" w:space="0" w:color="auto"/>
              <w:right w:val="single" w:sz="4" w:space="0" w:color="auto"/>
            </w:tcBorders>
            <w:shd w:val="clear" w:color="auto" w:fill="auto"/>
            <w:noWrap/>
            <w:hideMark/>
          </w:tcPr>
          <w:p w14:paraId="7EE79C8B" w14:textId="77777777" w:rsidR="006B6D17" w:rsidRPr="00E00086" w:rsidRDefault="006B6D17" w:rsidP="00BC2583">
            <w:pPr>
              <w:jc w:val="center"/>
              <w:rPr>
                <w:lang w:val="sr-Cyrl-RS"/>
              </w:rPr>
            </w:pPr>
            <w:r w:rsidRPr="00E00086">
              <w:rPr>
                <w:lang w:val="sr-Cyrl-RS"/>
              </w:rPr>
              <w:t>731,732,744</w:t>
            </w:r>
          </w:p>
        </w:tc>
        <w:tc>
          <w:tcPr>
            <w:tcW w:w="2419" w:type="dxa"/>
            <w:tcBorders>
              <w:top w:val="nil"/>
              <w:left w:val="nil"/>
              <w:bottom w:val="single" w:sz="4" w:space="0" w:color="auto"/>
              <w:right w:val="single" w:sz="4" w:space="0" w:color="auto"/>
            </w:tcBorders>
            <w:shd w:val="clear" w:color="auto" w:fill="auto"/>
            <w:noWrap/>
            <w:hideMark/>
          </w:tcPr>
          <w:p w14:paraId="166D8725" w14:textId="77777777" w:rsidR="006B6D17" w:rsidRPr="00E00086" w:rsidRDefault="006B6D17" w:rsidP="00BC2583">
            <w:pPr>
              <w:jc w:val="right"/>
              <w:rPr>
                <w:lang w:val="sr-Cyrl-RS"/>
              </w:rPr>
            </w:pPr>
            <w:r w:rsidRPr="00E00086">
              <w:rPr>
                <w:lang w:val="sr-Cyrl-RS"/>
              </w:rPr>
              <w:t>35.425.254.000</w:t>
            </w:r>
          </w:p>
        </w:tc>
      </w:tr>
    </w:tbl>
    <w:p w14:paraId="0C71581F" w14:textId="77777777" w:rsidR="006B6D17" w:rsidRPr="00E00086" w:rsidRDefault="006B6D17" w:rsidP="00FA154F">
      <w:pPr>
        <w:tabs>
          <w:tab w:val="left" w:pos="720"/>
          <w:tab w:val="left" w:pos="1440"/>
        </w:tabs>
        <w:spacing w:before="120"/>
        <w:rPr>
          <w:rFonts w:ascii="Times New Roman" w:hAnsi="Times New Roman"/>
          <w:lang w:val="sr-Cyrl-RS"/>
        </w:rPr>
      </w:pPr>
    </w:p>
    <w:p w14:paraId="32E7D85F" w14:textId="2D540C87" w:rsidR="00013BBC" w:rsidRPr="00E00086" w:rsidRDefault="00013BBC" w:rsidP="00013BBC">
      <w:pPr>
        <w:tabs>
          <w:tab w:val="left" w:pos="720"/>
          <w:tab w:val="left" w:pos="1440"/>
        </w:tabs>
        <w:spacing w:before="120"/>
        <w:ind w:firstLine="720"/>
        <w:rPr>
          <w:rFonts w:ascii="Times New Roman" w:hAnsi="Times New Roman"/>
          <w:szCs w:val="24"/>
          <w:lang w:val="sr-Cyrl-RS"/>
        </w:rPr>
      </w:pPr>
      <w:r w:rsidRPr="00E00086">
        <w:rPr>
          <w:rFonts w:ascii="Times New Roman" w:hAnsi="Times New Roman"/>
          <w:lang w:val="sr-Cyrl-RS"/>
        </w:rPr>
        <w:fldChar w:fldCharType="end"/>
      </w:r>
      <w:r w:rsidRPr="00E00086">
        <w:rPr>
          <w:rFonts w:ascii="Times New Roman" w:hAnsi="Times New Roman"/>
          <w:b/>
          <w:szCs w:val="24"/>
          <w:lang w:val="sr-Cyrl-RS"/>
        </w:rPr>
        <w:t>Буџетом Републике Србије за 2025. годину, планирају се укупни приходи и примања у износу од 2.346,2 млрд динара, што представља повећање од 8% у односу на износ предвиђен ребалансом буџета за 2024. годину</w:t>
      </w:r>
      <w:r w:rsidRPr="00E00086">
        <w:rPr>
          <w:rFonts w:ascii="Times New Roman" w:hAnsi="Times New Roman"/>
          <w:szCs w:val="24"/>
          <w:lang w:val="sr-Cyrl-RS"/>
        </w:rPr>
        <w:t xml:space="preserve">. </w:t>
      </w:r>
      <w:r w:rsidRPr="00E00086">
        <w:rPr>
          <w:rFonts w:ascii="Times New Roman" w:eastAsia="Calibri" w:hAnsi="Times New Roman"/>
          <w:bCs/>
          <w:szCs w:val="24"/>
          <w:lang w:val="sr-Cyrl-RS"/>
        </w:rPr>
        <w:t xml:space="preserve">У структури укупних прихода порески приходи износе 1.985,1 млрд динара или 84,6%, док непорески приходи износе 325,7 млрд динара или 13,9% укупних прихода буџета Републике Србије. Остатак чине донације у износу од 35,4 млрд динара што чини 1,5% укупних прихода. У односу на процењени износ прихода за 2024. годину, укупни приходи буџета у 2025. години већи су за 172,9 млрд динара, при чему су порески приходи повећани за 120,3 млрд динара или за 6,5%, док су непорески приходи увећани за 18,4%. У оквиру пореских прихода, све категорије, осим прихода пореза на добит правних лица бележе умерен раст, при чему се нешто бржи раст предвиђа код пореза на потрошњу и доходак грађана. </w:t>
      </w:r>
    </w:p>
    <w:p w14:paraId="03648E34" w14:textId="70238E8A" w:rsidR="00013BBC" w:rsidRPr="00E00086" w:rsidRDefault="00013BBC" w:rsidP="00013BBC">
      <w:pPr>
        <w:tabs>
          <w:tab w:val="left" w:pos="720"/>
          <w:tab w:val="left" w:pos="1440"/>
        </w:tabs>
        <w:spacing w:after="120"/>
        <w:ind w:firstLine="720"/>
        <w:rPr>
          <w:rFonts w:ascii="Times New Roman" w:hAnsi="Times New Roman"/>
          <w:szCs w:val="24"/>
          <w:lang w:val="sr-Cyrl-RS"/>
        </w:rPr>
      </w:pPr>
      <w:r w:rsidRPr="00E00086">
        <w:rPr>
          <w:rFonts w:ascii="Times New Roman" w:hAnsi="Times New Roman"/>
          <w:b/>
          <w:szCs w:val="24"/>
          <w:lang w:val="sr-Cyrl-RS"/>
        </w:rPr>
        <w:t xml:space="preserve">Буџетски приходи у 2025. години планирани су на основу пројекције кретања најважнијих макроекономских параметара: БДП и његових компоненти, инфлације, девизног курса, кретања спољнотрговинске размене, процене кретања запослености и зарада у 2024. години, као и процењених ефеката измена у пореској политици и других структурних мера. </w:t>
      </w:r>
      <w:r w:rsidRPr="00E00086">
        <w:rPr>
          <w:rFonts w:ascii="Times New Roman" w:eastAsia="Calibri" w:hAnsi="Times New Roman"/>
          <w:szCs w:val="24"/>
          <w:lang w:val="sr-Cyrl-RS"/>
        </w:rPr>
        <w:t>Пројекцији прихода за наредну годину, уобичајно, приступило се опрезно, имајући у виду континуирану неизвесност на домаћем тржишту и у међународном окружењу.</w:t>
      </w:r>
      <w:r w:rsidRPr="00E00086">
        <w:rPr>
          <w:rFonts w:ascii="Times New Roman" w:eastAsia="Calibri" w:hAnsi="Times New Roman"/>
          <w:b/>
          <w:szCs w:val="24"/>
          <w:lang w:val="sr-Cyrl-RS"/>
        </w:rPr>
        <w:t xml:space="preserve"> </w:t>
      </w:r>
      <w:r w:rsidRPr="00E00086">
        <w:rPr>
          <w:rFonts w:ascii="Times New Roman" w:eastAsia="Calibri" w:hAnsi="Times New Roman"/>
          <w:szCs w:val="24"/>
          <w:lang w:val="sr-Cyrl-RS"/>
        </w:rPr>
        <w:t>Претходна година је, ипак, била релативно стабилна у економском смислу, са очекиваном динамиком макроекономских кретања и нешто бољим резултатима фискалних агрегата од очекиваних. Овакав развој догађаја омогућава бољу фискалну слику у средњорочном периоду, даље снижавање нивоа јавног дуга и већи фискални простор за јавне инвестиције</w:t>
      </w:r>
      <w:r w:rsidRPr="00E00086">
        <w:rPr>
          <w:rFonts w:ascii="Times New Roman" w:hAnsi="Times New Roman"/>
          <w:szCs w:val="24"/>
          <w:lang w:val="sr-Cyrl-RS"/>
        </w:rPr>
        <w:t xml:space="preserve">. Макроекономским оквиром за 2025. годину </w:t>
      </w:r>
      <w:r w:rsidRPr="00E00086">
        <w:rPr>
          <w:rFonts w:ascii="Times New Roman" w:hAnsi="Times New Roman"/>
          <w:szCs w:val="24"/>
          <w:lang w:val="sr-Cyrl-RS"/>
        </w:rPr>
        <w:lastRenderedPageBreak/>
        <w:t>предвиђено је умерено убрзање економске активности у односу на 2024. годину од 4,2%, уз постепено смиривање стопе инфлације, што ће поред осталог позитивно деловати и на кретање реалног нивоа потрошње.</w:t>
      </w:r>
      <w:r w:rsidRPr="00E00086">
        <w:rPr>
          <w:rFonts w:ascii="Times New Roman" w:eastAsia="Calibri" w:hAnsi="Times New Roman"/>
          <w:bCs/>
          <w:szCs w:val="24"/>
          <w:lang w:val="sr-Cyrl-RS"/>
        </w:rPr>
        <w:t xml:space="preserve"> Претходни период обележила су енергетска криза и растућа инфлација, услед чега су биле неопходне мере у циљу заштите стандарда становништва и обезбеђивања енергетске сигурности. Поред директних давања одређеним категоријама становништва, спроведене су и мере пореске политике (акцизном политиком утицало се посредно на цене појединих акцизних производа), те контрола цена основних животних намирница и енергената. Неке од тих мера биле су привременог карактера, и укинуте су крајем 2023. године, што се посебно односи на акцизну политику у области нафтних деривата. </w:t>
      </w:r>
      <w:r w:rsidRPr="00E00086">
        <w:rPr>
          <w:rFonts w:ascii="Times New Roman" w:hAnsi="Times New Roman"/>
          <w:szCs w:val="24"/>
          <w:lang w:val="sr-Cyrl-RS"/>
        </w:rPr>
        <w:t>У циљу одржања стандарда и куповне моћи становништва усвојене су или ће до краја године бити донете следеће мере: подизање минималне зараде у 2025. години за 13,7%, повећање зарада у јавном сектору од 8%</w:t>
      </w:r>
      <w:r w:rsidRPr="00E00086">
        <w:rPr>
          <w:rFonts w:ascii="Times New Roman" w:hAnsi="Times New Roman"/>
          <w:color w:val="FF0000"/>
          <w:szCs w:val="24"/>
          <w:lang w:val="sr-Cyrl-RS"/>
        </w:rPr>
        <w:t xml:space="preserve"> </w:t>
      </w:r>
      <w:r w:rsidRPr="00E00086">
        <w:rPr>
          <w:rFonts w:ascii="Times New Roman" w:eastAsia="Calibri" w:hAnsi="Times New Roman"/>
          <w:bCs/>
          <w:szCs w:val="24"/>
          <w:lang w:val="sr-Cyrl-RS"/>
        </w:rPr>
        <w:t>и повећање неопорезивог цензуса, при чему ће оптерећење процењене просечне нето зараде у 2025. години износити 59,9%. У складу са законском формулом за усклађивање, пензије у 2025. години ће бити повећане за 10,9%. Мере популационе политике донете током 20</w:t>
      </w:r>
      <w:r w:rsidRPr="00E00086">
        <w:rPr>
          <w:rFonts w:ascii="Times New Roman" w:hAnsi="Times New Roman"/>
          <w:szCs w:val="24"/>
          <w:lang w:val="sr-Cyrl-RS"/>
        </w:rPr>
        <w:t xml:space="preserve">22. и 2024. године су структурног карактера и утицаће позитивно на ниво расположивог дохотка породица са децом. Ове мере деловаће на кретање личне потрошње и последично, на приходе од пореза на потрошњу. Очекује се позитиван утицај и на кретање прихода од опорезивања рада и поред смањења пореског оптерећења, услед дејства предложених мера на кретање запослености и зарада у приватном сектору. Осим наведених, нису предвиђене друге измене у пореској политици са значајнијим ефектом на наплату буџетских прихода.  </w:t>
      </w:r>
    </w:p>
    <w:p w14:paraId="43B024A0" w14:textId="77777777" w:rsidR="00013BBC" w:rsidRPr="00E00086" w:rsidRDefault="00013BBC" w:rsidP="00013BBC">
      <w:pPr>
        <w:spacing w:after="120"/>
        <w:ind w:firstLine="720"/>
        <w:rPr>
          <w:rFonts w:ascii="Times New Roman" w:eastAsia="MS PGothic" w:hAnsi="Times New Roman"/>
          <w:szCs w:val="24"/>
          <w:lang w:val="sr-Cyrl-RS" w:eastAsia="ja-JP"/>
        </w:rPr>
      </w:pPr>
      <w:r w:rsidRPr="00E00086">
        <w:rPr>
          <w:rFonts w:ascii="Times New Roman" w:eastAsia="MS PGothic" w:hAnsi="Times New Roman"/>
          <w:b/>
          <w:szCs w:val="24"/>
          <w:lang w:val="sr-Cyrl-RS" w:eastAsia="ja-JP"/>
        </w:rPr>
        <w:t>Буџет за 2025. годину предвиђа мере фискалне политике у циљу даљег смањења пореског оптерећења зарада.</w:t>
      </w:r>
      <w:r w:rsidRPr="00E00086">
        <w:rPr>
          <w:rFonts w:ascii="Times New Roman" w:eastAsia="MS PGothic" w:hAnsi="Times New Roman"/>
          <w:szCs w:val="24"/>
          <w:lang w:val="sr-Cyrl-RS" w:eastAsia="ja-JP"/>
        </w:rPr>
        <w:t xml:space="preserve"> Неопорезиви део бруто зараде повећава се са 25.000 на 28.423 динара, пратећи при томе предвиђени раст минималне зараде. Губитак прихода сектора државе по овом основу у 2025. години процењује се на око 14,5 млрд динара, при чему је директан губитак буџета Републике процењен на 2,5 млрд динара, губитак локалног нивоа власти на 7,6 млрд, а остатак од 4,4 млрд се односи на приходе фондова обавезног социјалног осигурања. Директан утицај на приходе буџета Републике није значајан, али се преко расходне стране, путем трансфера другим нивоима власти и ООСО одражава и на буџетски резултат. Ове мере смањују пореско оптерећење просечне нето зараде за око 0,2 процентних поена у односу на 2024. годину, и усмерене су, такође, на постепено повећање прогресивности опорезивања зарада. Тако ће у наредној години пореско оптерећење нето минималне зараде износити 55,3%. </w:t>
      </w:r>
    </w:p>
    <w:p w14:paraId="5779EFC1" w14:textId="45E691E3" w:rsidR="00013BBC" w:rsidRPr="00E00086" w:rsidRDefault="00013BBC" w:rsidP="00013BBC">
      <w:pPr>
        <w:keepNext/>
        <w:tabs>
          <w:tab w:val="left" w:pos="709"/>
        </w:tabs>
        <w:rPr>
          <w:rFonts w:ascii="Times New Roman" w:hAnsi="Times New Roman"/>
          <w:vanish/>
          <w:szCs w:val="24"/>
          <w:lang w:val="sr-Cyrl-RS"/>
          <w:specVanish/>
        </w:rPr>
      </w:pPr>
      <w:r w:rsidRPr="00E00086">
        <w:rPr>
          <w:rFonts w:ascii="Times New Roman" w:hAnsi="Times New Roman"/>
          <w:b/>
          <w:color w:val="000000"/>
          <w:lang w:val="sr-Cyrl-RS"/>
        </w:rPr>
        <w:t xml:space="preserve">Приходи и примања буџета </w:t>
      </w:r>
      <w:r w:rsidR="005E4361">
        <w:rPr>
          <w:rFonts w:ascii="Times New Roman" w:hAnsi="Times New Roman"/>
          <w:b/>
          <w:color w:val="000000"/>
          <w:lang w:val="sr-Cyrl-RS"/>
        </w:rPr>
        <w:t>у</w:t>
      </w:r>
      <w:r w:rsidRPr="00E00086">
        <w:rPr>
          <w:rFonts w:ascii="Times New Roman" w:hAnsi="Times New Roman"/>
          <w:b/>
          <w:color w:val="000000"/>
          <w:lang w:val="sr-Cyrl-RS"/>
        </w:rPr>
        <w:t xml:space="preserve"> 2024. и 2025. години (у млрд динара)</w:t>
      </w:r>
      <w:r w:rsidRPr="00E00086">
        <w:rPr>
          <w:rFonts w:ascii="Times New Roman" w:hAnsi="Times New Roman"/>
          <w:b/>
          <w:color w:val="FF0000"/>
          <w:lang w:val="sr-Cyrl-RS"/>
        </w:rPr>
        <w:t xml:space="preserve"> </w:t>
      </w:r>
    </w:p>
    <w:p w14:paraId="7BEFB2F3" w14:textId="77777777" w:rsidR="00013BBC" w:rsidRPr="00E00086" w:rsidRDefault="00013BBC" w:rsidP="00013BBC">
      <w:pPr>
        <w:keepNext/>
        <w:rPr>
          <w:rFonts w:ascii="Times New Roman" w:eastAsia="MS PGothic" w:hAnsi="Times New Roman"/>
          <w:szCs w:val="24"/>
          <w:lang w:val="sr-Cyrl-RS" w:eastAsia="ja-JP"/>
        </w:rPr>
      </w:pPr>
    </w:p>
    <w:tbl>
      <w:tblPr>
        <w:tblpPr w:leftFromText="180" w:rightFromText="180" w:vertAnchor="text" w:horzAnchor="margin" w:tblpXSpec="center" w:tblpY="290"/>
        <w:tblW w:w="9739" w:type="dxa"/>
        <w:tblLook w:val="04A0" w:firstRow="1" w:lastRow="0" w:firstColumn="1" w:lastColumn="0" w:noHBand="0" w:noVBand="1"/>
      </w:tblPr>
      <w:tblGrid>
        <w:gridCol w:w="2607"/>
        <w:gridCol w:w="1358"/>
        <w:gridCol w:w="1359"/>
        <w:gridCol w:w="1511"/>
        <w:gridCol w:w="1452"/>
        <w:gridCol w:w="1452"/>
      </w:tblGrid>
      <w:tr w:rsidR="00013BBC" w:rsidRPr="00E00086" w14:paraId="77B71688" w14:textId="77777777" w:rsidTr="00BC2583">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10D70" w14:textId="77777777" w:rsidR="00013BBC" w:rsidRPr="00E00086" w:rsidRDefault="00013BBC" w:rsidP="00BC2583">
            <w:pPr>
              <w:jc w:val="center"/>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Приходи буџета</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14:paraId="645D5096" w14:textId="77777777" w:rsidR="00013BBC" w:rsidRPr="00E00086" w:rsidRDefault="00013BBC" w:rsidP="00BC2583">
            <w:pPr>
              <w:jc w:val="center"/>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Ребаланс 2024</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6AE96E98" w14:textId="77777777" w:rsidR="00013BBC" w:rsidRPr="00E00086" w:rsidRDefault="00013BBC" w:rsidP="00BC2583">
            <w:pPr>
              <w:jc w:val="center"/>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Буџет 2025</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1844B0D6" w14:textId="77777777" w:rsidR="00013BBC" w:rsidRPr="00E00086" w:rsidRDefault="00013BBC" w:rsidP="00BC2583">
            <w:pPr>
              <w:jc w:val="center"/>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Индекс 2025/2024</w:t>
            </w:r>
          </w:p>
        </w:tc>
        <w:tc>
          <w:tcPr>
            <w:tcW w:w="1452" w:type="dxa"/>
            <w:tcBorders>
              <w:top w:val="single" w:sz="4" w:space="0" w:color="auto"/>
              <w:left w:val="nil"/>
              <w:bottom w:val="single" w:sz="4" w:space="0" w:color="auto"/>
              <w:right w:val="single" w:sz="4" w:space="0" w:color="auto"/>
            </w:tcBorders>
            <w:shd w:val="clear" w:color="auto" w:fill="auto"/>
            <w:vAlign w:val="bottom"/>
            <w:hideMark/>
          </w:tcPr>
          <w:p w14:paraId="1E40BFB6" w14:textId="77777777" w:rsidR="00013BBC" w:rsidRPr="00E00086" w:rsidRDefault="00013BBC" w:rsidP="00BC2583">
            <w:pPr>
              <w:jc w:val="center"/>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Структура прихода  2024, у %</w:t>
            </w:r>
          </w:p>
        </w:tc>
        <w:tc>
          <w:tcPr>
            <w:tcW w:w="1452" w:type="dxa"/>
            <w:tcBorders>
              <w:top w:val="single" w:sz="4" w:space="0" w:color="auto"/>
              <w:left w:val="nil"/>
              <w:bottom w:val="single" w:sz="4" w:space="0" w:color="auto"/>
              <w:right w:val="single" w:sz="4" w:space="0" w:color="auto"/>
            </w:tcBorders>
            <w:shd w:val="clear" w:color="auto" w:fill="auto"/>
            <w:vAlign w:val="bottom"/>
            <w:hideMark/>
          </w:tcPr>
          <w:p w14:paraId="350764E9" w14:textId="77777777" w:rsidR="00013BBC" w:rsidRPr="00E00086" w:rsidRDefault="00013BBC" w:rsidP="00BC2583">
            <w:pPr>
              <w:jc w:val="center"/>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Структура прихода  2025, у %</w:t>
            </w:r>
          </w:p>
        </w:tc>
      </w:tr>
      <w:tr w:rsidR="00013BBC" w:rsidRPr="00E00086" w14:paraId="2D84840F"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45E86215" w14:textId="77777777" w:rsidR="00013BBC" w:rsidRPr="00E00086" w:rsidRDefault="00013BBC" w:rsidP="00BC2583">
            <w:pPr>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Укупно</w:t>
            </w:r>
          </w:p>
        </w:tc>
        <w:tc>
          <w:tcPr>
            <w:tcW w:w="1358" w:type="dxa"/>
            <w:tcBorders>
              <w:top w:val="nil"/>
              <w:left w:val="nil"/>
              <w:bottom w:val="single" w:sz="4" w:space="0" w:color="auto"/>
              <w:right w:val="single" w:sz="4" w:space="0" w:color="auto"/>
            </w:tcBorders>
            <w:shd w:val="clear" w:color="auto" w:fill="auto"/>
            <w:noWrap/>
            <w:vAlign w:val="bottom"/>
            <w:hideMark/>
          </w:tcPr>
          <w:p w14:paraId="7F079113"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2.173,3</w:t>
            </w:r>
          </w:p>
        </w:tc>
        <w:tc>
          <w:tcPr>
            <w:tcW w:w="1359" w:type="dxa"/>
            <w:tcBorders>
              <w:top w:val="nil"/>
              <w:left w:val="nil"/>
              <w:bottom w:val="single" w:sz="4" w:space="0" w:color="auto"/>
              <w:right w:val="single" w:sz="4" w:space="0" w:color="auto"/>
            </w:tcBorders>
            <w:shd w:val="clear" w:color="auto" w:fill="auto"/>
            <w:noWrap/>
            <w:vAlign w:val="bottom"/>
            <w:hideMark/>
          </w:tcPr>
          <w:p w14:paraId="605570C0"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2.346,2</w:t>
            </w:r>
          </w:p>
        </w:tc>
        <w:tc>
          <w:tcPr>
            <w:tcW w:w="1511" w:type="dxa"/>
            <w:tcBorders>
              <w:top w:val="nil"/>
              <w:left w:val="nil"/>
              <w:bottom w:val="single" w:sz="4" w:space="0" w:color="auto"/>
              <w:right w:val="single" w:sz="4" w:space="0" w:color="auto"/>
            </w:tcBorders>
            <w:shd w:val="clear" w:color="auto" w:fill="auto"/>
            <w:noWrap/>
            <w:vAlign w:val="bottom"/>
            <w:hideMark/>
          </w:tcPr>
          <w:p w14:paraId="48D3507D"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108,0</w:t>
            </w:r>
          </w:p>
        </w:tc>
        <w:tc>
          <w:tcPr>
            <w:tcW w:w="1452" w:type="dxa"/>
            <w:tcBorders>
              <w:top w:val="nil"/>
              <w:left w:val="nil"/>
              <w:bottom w:val="single" w:sz="4" w:space="0" w:color="auto"/>
              <w:right w:val="single" w:sz="4" w:space="0" w:color="auto"/>
            </w:tcBorders>
            <w:shd w:val="clear" w:color="auto" w:fill="auto"/>
            <w:noWrap/>
            <w:vAlign w:val="bottom"/>
            <w:hideMark/>
          </w:tcPr>
          <w:p w14:paraId="6DC3A3F9"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100,0</w:t>
            </w:r>
          </w:p>
        </w:tc>
        <w:tc>
          <w:tcPr>
            <w:tcW w:w="1452" w:type="dxa"/>
            <w:tcBorders>
              <w:top w:val="nil"/>
              <w:left w:val="nil"/>
              <w:bottom w:val="single" w:sz="4" w:space="0" w:color="auto"/>
              <w:right w:val="single" w:sz="4" w:space="0" w:color="auto"/>
            </w:tcBorders>
            <w:shd w:val="clear" w:color="auto" w:fill="auto"/>
            <w:noWrap/>
            <w:vAlign w:val="bottom"/>
            <w:hideMark/>
          </w:tcPr>
          <w:p w14:paraId="05767C20"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100,0</w:t>
            </w:r>
          </w:p>
        </w:tc>
      </w:tr>
      <w:tr w:rsidR="00013BBC" w:rsidRPr="00E00086" w14:paraId="124187A9"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4FCB0246" w14:textId="77777777" w:rsidR="00013BBC" w:rsidRPr="00E00086" w:rsidRDefault="00013BBC" w:rsidP="00BC2583">
            <w:pPr>
              <w:rPr>
                <w:rFonts w:ascii="Times New Roman" w:hAnsi="Times New Roman"/>
                <w:b/>
                <w:bCs/>
                <w:sz w:val="18"/>
                <w:szCs w:val="18"/>
                <w:lang w:val="sr-Cyrl-RS"/>
              </w:rPr>
            </w:pPr>
            <w:r w:rsidRPr="00E00086">
              <w:rPr>
                <w:rFonts w:ascii="Times New Roman" w:hAnsi="Times New Roman"/>
                <w:b/>
                <w:bCs/>
                <w:sz w:val="18"/>
                <w:szCs w:val="18"/>
                <w:lang w:val="sr-Cyrl-RS"/>
              </w:rPr>
              <w:t xml:space="preserve"> Порески приходи</w:t>
            </w:r>
          </w:p>
        </w:tc>
        <w:tc>
          <w:tcPr>
            <w:tcW w:w="1358" w:type="dxa"/>
            <w:tcBorders>
              <w:top w:val="nil"/>
              <w:left w:val="nil"/>
              <w:bottom w:val="single" w:sz="4" w:space="0" w:color="auto"/>
              <w:right w:val="single" w:sz="4" w:space="0" w:color="auto"/>
            </w:tcBorders>
            <w:shd w:val="clear" w:color="auto" w:fill="auto"/>
            <w:noWrap/>
            <w:vAlign w:val="bottom"/>
            <w:hideMark/>
          </w:tcPr>
          <w:p w14:paraId="3A231491"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1.864,8</w:t>
            </w:r>
          </w:p>
        </w:tc>
        <w:tc>
          <w:tcPr>
            <w:tcW w:w="1359" w:type="dxa"/>
            <w:tcBorders>
              <w:top w:val="nil"/>
              <w:left w:val="nil"/>
              <w:bottom w:val="single" w:sz="4" w:space="0" w:color="auto"/>
              <w:right w:val="single" w:sz="4" w:space="0" w:color="auto"/>
            </w:tcBorders>
            <w:shd w:val="clear" w:color="auto" w:fill="auto"/>
            <w:noWrap/>
            <w:vAlign w:val="bottom"/>
            <w:hideMark/>
          </w:tcPr>
          <w:p w14:paraId="6ED8D00C"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1.985,1</w:t>
            </w:r>
          </w:p>
        </w:tc>
        <w:tc>
          <w:tcPr>
            <w:tcW w:w="1511" w:type="dxa"/>
            <w:tcBorders>
              <w:top w:val="nil"/>
              <w:left w:val="nil"/>
              <w:bottom w:val="single" w:sz="4" w:space="0" w:color="auto"/>
              <w:right w:val="single" w:sz="4" w:space="0" w:color="auto"/>
            </w:tcBorders>
            <w:shd w:val="clear" w:color="auto" w:fill="auto"/>
            <w:noWrap/>
            <w:vAlign w:val="bottom"/>
            <w:hideMark/>
          </w:tcPr>
          <w:p w14:paraId="0EB2403E"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106,5</w:t>
            </w:r>
          </w:p>
        </w:tc>
        <w:tc>
          <w:tcPr>
            <w:tcW w:w="1452" w:type="dxa"/>
            <w:tcBorders>
              <w:top w:val="nil"/>
              <w:left w:val="nil"/>
              <w:bottom w:val="single" w:sz="4" w:space="0" w:color="auto"/>
              <w:right w:val="single" w:sz="4" w:space="0" w:color="auto"/>
            </w:tcBorders>
            <w:shd w:val="clear" w:color="auto" w:fill="auto"/>
            <w:noWrap/>
            <w:vAlign w:val="bottom"/>
            <w:hideMark/>
          </w:tcPr>
          <w:p w14:paraId="675742F1"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85,8</w:t>
            </w:r>
          </w:p>
        </w:tc>
        <w:tc>
          <w:tcPr>
            <w:tcW w:w="1452" w:type="dxa"/>
            <w:tcBorders>
              <w:top w:val="nil"/>
              <w:left w:val="nil"/>
              <w:bottom w:val="single" w:sz="4" w:space="0" w:color="auto"/>
              <w:right w:val="single" w:sz="4" w:space="0" w:color="auto"/>
            </w:tcBorders>
            <w:shd w:val="clear" w:color="auto" w:fill="auto"/>
            <w:noWrap/>
            <w:vAlign w:val="bottom"/>
            <w:hideMark/>
          </w:tcPr>
          <w:p w14:paraId="19B00F24"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84,6</w:t>
            </w:r>
          </w:p>
        </w:tc>
      </w:tr>
      <w:tr w:rsidR="00013BBC" w:rsidRPr="00E00086" w14:paraId="5FD3296C"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76FE1EFB" w14:textId="77777777" w:rsidR="00013BBC" w:rsidRPr="00E00086" w:rsidRDefault="00013BBC" w:rsidP="00BC2583">
            <w:pPr>
              <w:rPr>
                <w:rFonts w:ascii="Times New Roman" w:hAnsi="Times New Roman"/>
                <w:sz w:val="18"/>
                <w:szCs w:val="18"/>
                <w:lang w:val="sr-Cyrl-RS"/>
              </w:rPr>
            </w:pPr>
            <w:r w:rsidRPr="00E00086">
              <w:rPr>
                <w:rFonts w:ascii="Times New Roman" w:hAnsi="Times New Roman"/>
                <w:sz w:val="18"/>
                <w:szCs w:val="18"/>
                <w:lang w:val="sr-Cyrl-RS"/>
              </w:rPr>
              <w:t xml:space="preserve">  Порез на доходак грађана</w:t>
            </w:r>
          </w:p>
        </w:tc>
        <w:tc>
          <w:tcPr>
            <w:tcW w:w="1358" w:type="dxa"/>
            <w:tcBorders>
              <w:top w:val="nil"/>
              <w:left w:val="nil"/>
              <w:bottom w:val="single" w:sz="4" w:space="0" w:color="auto"/>
              <w:right w:val="single" w:sz="4" w:space="0" w:color="auto"/>
            </w:tcBorders>
            <w:shd w:val="clear" w:color="auto" w:fill="auto"/>
            <w:noWrap/>
            <w:vAlign w:val="bottom"/>
            <w:hideMark/>
          </w:tcPr>
          <w:p w14:paraId="0DF7730E"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128,3</w:t>
            </w:r>
          </w:p>
        </w:tc>
        <w:tc>
          <w:tcPr>
            <w:tcW w:w="1359" w:type="dxa"/>
            <w:tcBorders>
              <w:top w:val="nil"/>
              <w:left w:val="nil"/>
              <w:bottom w:val="single" w:sz="4" w:space="0" w:color="auto"/>
              <w:right w:val="single" w:sz="4" w:space="0" w:color="auto"/>
            </w:tcBorders>
            <w:shd w:val="clear" w:color="auto" w:fill="auto"/>
            <w:noWrap/>
            <w:vAlign w:val="bottom"/>
            <w:hideMark/>
          </w:tcPr>
          <w:p w14:paraId="69059AE7"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138,4</w:t>
            </w:r>
          </w:p>
        </w:tc>
        <w:tc>
          <w:tcPr>
            <w:tcW w:w="1511" w:type="dxa"/>
            <w:tcBorders>
              <w:top w:val="nil"/>
              <w:left w:val="nil"/>
              <w:bottom w:val="single" w:sz="4" w:space="0" w:color="auto"/>
              <w:right w:val="single" w:sz="4" w:space="0" w:color="auto"/>
            </w:tcBorders>
            <w:shd w:val="clear" w:color="auto" w:fill="auto"/>
            <w:noWrap/>
            <w:vAlign w:val="bottom"/>
            <w:hideMark/>
          </w:tcPr>
          <w:p w14:paraId="17148050"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107,9</w:t>
            </w:r>
          </w:p>
        </w:tc>
        <w:tc>
          <w:tcPr>
            <w:tcW w:w="1452" w:type="dxa"/>
            <w:tcBorders>
              <w:top w:val="nil"/>
              <w:left w:val="nil"/>
              <w:bottom w:val="single" w:sz="4" w:space="0" w:color="auto"/>
              <w:right w:val="single" w:sz="4" w:space="0" w:color="auto"/>
            </w:tcBorders>
            <w:shd w:val="clear" w:color="auto" w:fill="auto"/>
            <w:noWrap/>
            <w:vAlign w:val="bottom"/>
            <w:hideMark/>
          </w:tcPr>
          <w:p w14:paraId="088B423A"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5,9</w:t>
            </w:r>
          </w:p>
        </w:tc>
        <w:tc>
          <w:tcPr>
            <w:tcW w:w="1452" w:type="dxa"/>
            <w:tcBorders>
              <w:top w:val="nil"/>
              <w:left w:val="nil"/>
              <w:bottom w:val="single" w:sz="4" w:space="0" w:color="auto"/>
              <w:right w:val="single" w:sz="4" w:space="0" w:color="auto"/>
            </w:tcBorders>
            <w:shd w:val="clear" w:color="auto" w:fill="auto"/>
            <w:noWrap/>
            <w:vAlign w:val="bottom"/>
            <w:hideMark/>
          </w:tcPr>
          <w:p w14:paraId="61785148"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5,9</w:t>
            </w:r>
          </w:p>
        </w:tc>
      </w:tr>
      <w:tr w:rsidR="00013BBC" w:rsidRPr="00E00086" w14:paraId="4B8E18A9"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42E8EE26" w14:textId="77777777" w:rsidR="00013BBC" w:rsidRPr="00E00086" w:rsidRDefault="00013BBC" w:rsidP="00BC2583">
            <w:pPr>
              <w:rPr>
                <w:rFonts w:ascii="Times New Roman" w:hAnsi="Times New Roman"/>
                <w:sz w:val="18"/>
                <w:szCs w:val="18"/>
                <w:lang w:val="sr-Cyrl-RS"/>
              </w:rPr>
            </w:pPr>
            <w:r w:rsidRPr="00E00086">
              <w:rPr>
                <w:rFonts w:ascii="Times New Roman" w:hAnsi="Times New Roman"/>
                <w:sz w:val="18"/>
                <w:szCs w:val="18"/>
                <w:lang w:val="sr-Cyrl-RS"/>
              </w:rPr>
              <w:t xml:space="preserve">  Порез на добит правних лица</w:t>
            </w:r>
          </w:p>
        </w:tc>
        <w:tc>
          <w:tcPr>
            <w:tcW w:w="1358" w:type="dxa"/>
            <w:tcBorders>
              <w:top w:val="nil"/>
              <w:left w:val="nil"/>
              <w:bottom w:val="single" w:sz="4" w:space="0" w:color="auto"/>
              <w:right w:val="single" w:sz="4" w:space="0" w:color="auto"/>
            </w:tcBorders>
            <w:shd w:val="clear" w:color="auto" w:fill="auto"/>
            <w:noWrap/>
            <w:vAlign w:val="bottom"/>
            <w:hideMark/>
          </w:tcPr>
          <w:p w14:paraId="7D050071"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265,5</w:t>
            </w:r>
          </w:p>
        </w:tc>
        <w:tc>
          <w:tcPr>
            <w:tcW w:w="1359" w:type="dxa"/>
            <w:tcBorders>
              <w:top w:val="nil"/>
              <w:left w:val="nil"/>
              <w:bottom w:val="single" w:sz="4" w:space="0" w:color="auto"/>
              <w:right w:val="single" w:sz="4" w:space="0" w:color="auto"/>
            </w:tcBorders>
            <w:shd w:val="clear" w:color="auto" w:fill="auto"/>
            <w:noWrap/>
            <w:vAlign w:val="bottom"/>
            <w:hideMark/>
          </w:tcPr>
          <w:p w14:paraId="43EEEAAF"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258,8</w:t>
            </w:r>
          </w:p>
        </w:tc>
        <w:tc>
          <w:tcPr>
            <w:tcW w:w="1511" w:type="dxa"/>
            <w:tcBorders>
              <w:top w:val="nil"/>
              <w:left w:val="nil"/>
              <w:bottom w:val="single" w:sz="4" w:space="0" w:color="auto"/>
              <w:right w:val="single" w:sz="4" w:space="0" w:color="auto"/>
            </w:tcBorders>
            <w:shd w:val="clear" w:color="auto" w:fill="auto"/>
            <w:noWrap/>
            <w:vAlign w:val="bottom"/>
            <w:hideMark/>
          </w:tcPr>
          <w:p w14:paraId="3FAE0A53"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97,5</w:t>
            </w:r>
          </w:p>
        </w:tc>
        <w:tc>
          <w:tcPr>
            <w:tcW w:w="1452" w:type="dxa"/>
            <w:tcBorders>
              <w:top w:val="nil"/>
              <w:left w:val="nil"/>
              <w:bottom w:val="single" w:sz="4" w:space="0" w:color="auto"/>
              <w:right w:val="single" w:sz="4" w:space="0" w:color="auto"/>
            </w:tcBorders>
            <w:shd w:val="clear" w:color="auto" w:fill="auto"/>
            <w:noWrap/>
            <w:vAlign w:val="bottom"/>
            <w:hideMark/>
          </w:tcPr>
          <w:p w14:paraId="12CEE853"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12,2</w:t>
            </w:r>
          </w:p>
        </w:tc>
        <w:tc>
          <w:tcPr>
            <w:tcW w:w="1452" w:type="dxa"/>
            <w:tcBorders>
              <w:top w:val="nil"/>
              <w:left w:val="nil"/>
              <w:bottom w:val="single" w:sz="4" w:space="0" w:color="auto"/>
              <w:right w:val="single" w:sz="4" w:space="0" w:color="auto"/>
            </w:tcBorders>
            <w:shd w:val="clear" w:color="auto" w:fill="auto"/>
            <w:noWrap/>
            <w:vAlign w:val="bottom"/>
            <w:hideMark/>
          </w:tcPr>
          <w:p w14:paraId="26B36749"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11,0</w:t>
            </w:r>
          </w:p>
        </w:tc>
      </w:tr>
      <w:tr w:rsidR="00013BBC" w:rsidRPr="00E00086" w14:paraId="0C9E3C68"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2554EDA1" w14:textId="77777777" w:rsidR="00013BBC" w:rsidRPr="00E00086" w:rsidRDefault="00013BBC" w:rsidP="00BC2583">
            <w:pPr>
              <w:rPr>
                <w:rFonts w:ascii="Times New Roman" w:hAnsi="Times New Roman"/>
                <w:sz w:val="18"/>
                <w:szCs w:val="18"/>
                <w:lang w:val="sr-Cyrl-RS"/>
              </w:rPr>
            </w:pPr>
            <w:r w:rsidRPr="00E00086">
              <w:rPr>
                <w:rFonts w:ascii="Times New Roman" w:hAnsi="Times New Roman"/>
                <w:sz w:val="18"/>
                <w:szCs w:val="18"/>
                <w:lang w:val="sr-Cyrl-RS"/>
              </w:rPr>
              <w:t xml:space="preserve">  Порез на додату вредност</w:t>
            </w:r>
          </w:p>
        </w:tc>
        <w:tc>
          <w:tcPr>
            <w:tcW w:w="1358" w:type="dxa"/>
            <w:tcBorders>
              <w:top w:val="nil"/>
              <w:left w:val="nil"/>
              <w:bottom w:val="single" w:sz="4" w:space="0" w:color="auto"/>
              <w:right w:val="single" w:sz="4" w:space="0" w:color="auto"/>
            </w:tcBorders>
            <w:shd w:val="clear" w:color="auto" w:fill="auto"/>
            <w:noWrap/>
            <w:vAlign w:val="bottom"/>
            <w:hideMark/>
          </w:tcPr>
          <w:p w14:paraId="462CF1FC"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960,0</w:t>
            </w:r>
          </w:p>
        </w:tc>
        <w:tc>
          <w:tcPr>
            <w:tcW w:w="1359" w:type="dxa"/>
            <w:tcBorders>
              <w:top w:val="nil"/>
              <w:left w:val="nil"/>
              <w:bottom w:val="single" w:sz="4" w:space="0" w:color="auto"/>
              <w:right w:val="single" w:sz="4" w:space="0" w:color="auto"/>
            </w:tcBorders>
            <w:shd w:val="clear" w:color="auto" w:fill="auto"/>
            <w:noWrap/>
            <w:vAlign w:val="bottom"/>
            <w:hideMark/>
          </w:tcPr>
          <w:p w14:paraId="454C28BD"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1.056,0</w:t>
            </w:r>
          </w:p>
        </w:tc>
        <w:tc>
          <w:tcPr>
            <w:tcW w:w="1511" w:type="dxa"/>
            <w:tcBorders>
              <w:top w:val="nil"/>
              <w:left w:val="nil"/>
              <w:bottom w:val="single" w:sz="4" w:space="0" w:color="auto"/>
              <w:right w:val="single" w:sz="4" w:space="0" w:color="auto"/>
            </w:tcBorders>
            <w:shd w:val="clear" w:color="auto" w:fill="auto"/>
            <w:noWrap/>
            <w:vAlign w:val="bottom"/>
            <w:hideMark/>
          </w:tcPr>
          <w:p w14:paraId="15C3AC7C"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110,0</w:t>
            </w:r>
          </w:p>
        </w:tc>
        <w:tc>
          <w:tcPr>
            <w:tcW w:w="1452" w:type="dxa"/>
            <w:tcBorders>
              <w:top w:val="nil"/>
              <w:left w:val="nil"/>
              <w:bottom w:val="single" w:sz="4" w:space="0" w:color="auto"/>
              <w:right w:val="single" w:sz="4" w:space="0" w:color="auto"/>
            </w:tcBorders>
            <w:shd w:val="clear" w:color="auto" w:fill="auto"/>
            <w:noWrap/>
            <w:vAlign w:val="bottom"/>
            <w:hideMark/>
          </w:tcPr>
          <w:p w14:paraId="0EBCD203"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44,2</w:t>
            </w:r>
          </w:p>
        </w:tc>
        <w:tc>
          <w:tcPr>
            <w:tcW w:w="1452" w:type="dxa"/>
            <w:tcBorders>
              <w:top w:val="nil"/>
              <w:left w:val="nil"/>
              <w:bottom w:val="single" w:sz="4" w:space="0" w:color="auto"/>
              <w:right w:val="single" w:sz="4" w:space="0" w:color="auto"/>
            </w:tcBorders>
            <w:shd w:val="clear" w:color="auto" w:fill="auto"/>
            <w:noWrap/>
            <w:vAlign w:val="bottom"/>
            <w:hideMark/>
          </w:tcPr>
          <w:p w14:paraId="7CD18312"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45,0</w:t>
            </w:r>
          </w:p>
        </w:tc>
      </w:tr>
      <w:tr w:rsidR="00013BBC" w:rsidRPr="00E00086" w14:paraId="52DF3FB4"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2D8026CB" w14:textId="77777777" w:rsidR="00013BBC" w:rsidRPr="00E00086" w:rsidRDefault="00013BBC" w:rsidP="00BC2583">
            <w:pPr>
              <w:rPr>
                <w:rFonts w:ascii="Times New Roman" w:hAnsi="Times New Roman"/>
                <w:sz w:val="18"/>
                <w:szCs w:val="18"/>
                <w:lang w:val="sr-Cyrl-RS"/>
              </w:rPr>
            </w:pPr>
            <w:r w:rsidRPr="00E00086">
              <w:rPr>
                <w:rFonts w:ascii="Times New Roman" w:hAnsi="Times New Roman"/>
                <w:sz w:val="18"/>
                <w:szCs w:val="18"/>
                <w:lang w:val="sr-Cyrl-RS"/>
              </w:rPr>
              <w:t xml:space="preserve">  Акцизе</w:t>
            </w:r>
          </w:p>
        </w:tc>
        <w:tc>
          <w:tcPr>
            <w:tcW w:w="1358" w:type="dxa"/>
            <w:tcBorders>
              <w:top w:val="nil"/>
              <w:left w:val="nil"/>
              <w:bottom w:val="single" w:sz="4" w:space="0" w:color="auto"/>
              <w:right w:val="single" w:sz="4" w:space="0" w:color="auto"/>
            </w:tcBorders>
            <w:shd w:val="clear" w:color="auto" w:fill="auto"/>
            <w:noWrap/>
            <w:vAlign w:val="bottom"/>
            <w:hideMark/>
          </w:tcPr>
          <w:p w14:paraId="285CF863"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407,0</w:t>
            </w:r>
          </w:p>
        </w:tc>
        <w:tc>
          <w:tcPr>
            <w:tcW w:w="1359" w:type="dxa"/>
            <w:tcBorders>
              <w:top w:val="nil"/>
              <w:left w:val="nil"/>
              <w:bottom w:val="single" w:sz="4" w:space="0" w:color="auto"/>
              <w:right w:val="single" w:sz="4" w:space="0" w:color="auto"/>
            </w:tcBorders>
            <w:shd w:val="clear" w:color="auto" w:fill="auto"/>
            <w:noWrap/>
            <w:vAlign w:val="bottom"/>
            <w:hideMark/>
          </w:tcPr>
          <w:p w14:paraId="11B1C21D"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420,0</w:t>
            </w:r>
          </w:p>
        </w:tc>
        <w:tc>
          <w:tcPr>
            <w:tcW w:w="1511" w:type="dxa"/>
            <w:tcBorders>
              <w:top w:val="nil"/>
              <w:left w:val="nil"/>
              <w:bottom w:val="single" w:sz="4" w:space="0" w:color="auto"/>
              <w:right w:val="single" w:sz="4" w:space="0" w:color="auto"/>
            </w:tcBorders>
            <w:shd w:val="clear" w:color="auto" w:fill="auto"/>
            <w:noWrap/>
            <w:vAlign w:val="bottom"/>
            <w:hideMark/>
          </w:tcPr>
          <w:p w14:paraId="6B708556"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103,2</w:t>
            </w:r>
          </w:p>
        </w:tc>
        <w:tc>
          <w:tcPr>
            <w:tcW w:w="1452" w:type="dxa"/>
            <w:tcBorders>
              <w:top w:val="nil"/>
              <w:left w:val="nil"/>
              <w:bottom w:val="single" w:sz="4" w:space="0" w:color="auto"/>
              <w:right w:val="single" w:sz="4" w:space="0" w:color="auto"/>
            </w:tcBorders>
            <w:shd w:val="clear" w:color="auto" w:fill="auto"/>
            <w:noWrap/>
            <w:vAlign w:val="bottom"/>
            <w:hideMark/>
          </w:tcPr>
          <w:p w14:paraId="56B813ED"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18,7</w:t>
            </w:r>
          </w:p>
        </w:tc>
        <w:tc>
          <w:tcPr>
            <w:tcW w:w="1452" w:type="dxa"/>
            <w:tcBorders>
              <w:top w:val="nil"/>
              <w:left w:val="nil"/>
              <w:bottom w:val="single" w:sz="4" w:space="0" w:color="auto"/>
              <w:right w:val="single" w:sz="4" w:space="0" w:color="auto"/>
            </w:tcBorders>
            <w:shd w:val="clear" w:color="auto" w:fill="auto"/>
            <w:noWrap/>
            <w:vAlign w:val="bottom"/>
            <w:hideMark/>
          </w:tcPr>
          <w:p w14:paraId="6EE14349"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17,9</w:t>
            </w:r>
          </w:p>
        </w:tc>
      </w:tr>
      <w:tr w:rsidR="00013BBC" w:rsidRPr="00E00086" w14:paraId="2B55DFD0"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599BC3B7" w14:textId="77777777" w:rsidR="00013BBC" w:rsidRPr="00E00086" w:rsidRDefault="00013BBC" w:rsidP="00BC2583">
            <w:pPr>
              <w:rPr>
                <w:rFonts w:ascii="Times New Roman" w:hAnsi="Times New Roman"/>
                <w:sz w:val="18"/>
                <w:szCs w:val="18"/>
                <w:lang w:val="sr-Cyrl-RS"/>
              </w:rPr>
            </w:pPr>
            <w:r w:rsidRPr="00E00086">
              <w:rPr>
                <w:rFonts w:ascii="Times New Roman" w:hAnsi="Times New Roman"/>
                <w:sz w:val="18"/>
                <w:szCs w:val="18"/>
                <w:lang w:val="sr-Cyrl-RS"/>
              </w:rPr>
              <w:t xml:space="preserve">     - Акцизе на деривате нафте</w:t>
            </w:r>
          </w:p>
        </w:tc>
        <w:tc>
          <w:tcPr>
            <w:tcW w:w="1358" w:type="dxa"/>
            <w:tcBorders>
              <w:top w:val="nil"/>
              <w:left w:val="nil"/>
              <w:bottom w:val="single" w:sz="4" w:space="0" w:color="auto"/>
              <w:right w:val="single" w:sz="4" w:space="0" w:color="auto"/>
            </w:tcBorders>
            <w:shd w:val="clear" w:color="auto" w:fill="auto"/>
            <w:noWrap/>
            <w:vAlign w:val="bottom"/>
            <w:hideMark/>
          </w:tcPr>
          <w:p w14:paraId="47B02FD4"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217,0</w:t>
            </w:r>
          </w:p>
        </w:tc>
        <w:tc>
          <w:tcPr>
            <w:tcW w:w="1359" w:type="dxa"/>
            <w:tcBorders>
              <w:top w:val="nil"/>
              <w:left w:val="nil"/>
              <w:bottom w:val="single" w:sz="4" w:space="0" w:color="auto"/>
              <w:right w:val="single" w:sz="4" w:space="0" w:color="auto"/>
            </w:tcBorders>
            <w:shd w:val="clear" w:color="auto" w:fill="auto"/>
            <w:noWrap/>
            <w:vAlign w:val="bottom"/>
            <w:hideMark/>
          </w:tcPr>
          <w:p w14:paraId="4D27A484"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226,1</w:t>
            </w:r>
          </w:p>
        </w:tc>
        <w:tc>
          <w:tcPr>
            <w:tcW w:w="1511" w:type="dxa"/>
            <w:tcBorders>
              <w:top w:val="nil"/>
              <w:left w:val="nil"/>
              <w:bottom w:val="single" w:sz="4" w:space="0" w:color="auto"/>
              <w:right w:val="single" w:sz="4" w:space="0" w:color="auto"/>
            </w:tcBorders>
            <w:shd w:val="clear" w:color="auto" w:fill="auto"/>
            <w:noWrap/>
            <w:vAlign w:val="bottom"/>
            <w:hideMark/>
          </w:tcPr>
          <w:p w14:paraId="04DF4741"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104,2</w:t>
            </w:r>
          </w:p>
        </w:tc>
        <w:tc>
          <w:tcPr>
            <w:tcW w:w="1452" w:type="dxa"/>
            <w:tcBorders>
              <w:top w:val="nil"/>
              <w:left w:val="nil"/>
              <w:bottom w:val="single" w:sz="4" w:space="0" w:color="auto"/>
              <w:right w:val="single" w:sz="4" w:space="0" w:color="auto"/>
            </w:tcBorders>
            <w:shd w:val="clear" w:color="auto" w:fill="auto"/>
            <w:noWrap/>
            <w:vAlign w:val="bottom"/>
            <w:hideMark/>
          </w:tcPr>
          <w:p w14:paraId="04BD404A"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10,0</w:t>
            </w:r>
          </w:p>
        </w:tc>
        <w:tc>
          <w:tcPr>
            <w:tcW w:w="1452" w:type="dxa"/>
            <w:tcBorders>
              <w:top w:val="nil"/>
              <w:left w:val="nil"/>
              <w:bottom w:val="single" w:sz="4" w:space="0" w:color="auto"/>
              <w:right w:val="single" w:sz="4" w:space="0" w:color="auto"/>
            </w:tcBorders>
            <w:shd w:val="clear" w:color="auto" w:fill="auto"/>
            <w:noWrap/>
            <w:vAlign w:val="bottom"/>
            <w:hideMark/>
          </w:tcPr>
          <w:p w14:paraId="6B5808C8"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9,6</w:t>
            </w:r>
          </w:p>
        </w:tc>
      </w:tr>
      <w:tr w:rsidR="00013BBC" w:rsidRPr="00E00086" w14:paraId="7298CEAE"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1877EB7B" w14:textId="77777777" w:rsidR="00013BBC" w:rsidRPr="00E00086" w:rsidRDefault="00013BBC" w:rsidP="00BC2583">
            <w:pPr>
              <w:rPr>
                <w:rFonts w:ascii="Times New Roman" w:hAnsi="Times New Roman"/>
                <w:sz w:val="18"/>
                <w:szCs w:val="18"/>
                <w:lang w:val="sr-Cyrl-RS"/>
              </w:rPr>
            </w:pPr>
            <w:r w:rsidRPr="00E00086">
              <w:rPr>
                <w:rFonts w:ascii="Times New Roman" w:hAnsi="Times New Roman"/>
                <w:sz w:val="18"/>
                <w:szCs w:val="18"/>
                <w:lang w:val="sr-Cyrl-RS"/>
              </w:rPr>
              <w:t xml:space="preserve">     - Акцизе на дуванске прерађевине</w:t>
            </w:r>
          </w:p>
        </w:tc>
        <w:tc>
          <w:tcPr>
            <w:tcW w:w="1358" w:type="dxa"/>
            <w:tcBorders>
              <w:top w:val="nil"/>
              <w:left w:val="nil"/>
              <w:bottom w:val="single" w:sz="4" w:space="0" w:color="auto"/>
              <w:right w:val="single" w:sz="4" w:space="0" w:color="auto"/>
            </w:tcBorders>
            <w:shd w:val="clear" w:color="auto" w:fill="auto"/>
            <w:noWrap/>
            <w:vAlign w:val="bottom"/>
            <w:hideMark/>
          </w:tcPr>
          <w:p w14:paraId="4B919B02"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140,0</w:t>
            </w:r>
          </w:p>
        </w:tc>
        <w:tc>
          <w:tcPr>
            <w:tcW w:w="1359" w:type="dxa"/>
            <w:tcBorders>
              <w:top w:val="nil"/>
              <w:left w:val="nil"/>
              <w:bottom w:val="single" w:sz="4" w:space="0" w:color="auto"/>
              <w:right w:val="single" w:sz="4" w:space="0" w:color="auto"/>
            </w:tcBorders>
            <w:shd w:val="clear" w:color="auto" w:fill="auto"/>
            <w:noWrap/>
            <w:vAlign w:val="bottom"/>
            <w:hideMark/>
          </w:tcPr>
          <w:p w14:paraId="2BF486F3"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143,0</w:t>
            </w:r>
          </w:p>
        </w:tc>
        <w:tc>
          <w:tcPr>
            <w:tcW w:w="1511" w:type="dxa"/>
            <w:tcBorders>
              <w:top w:val="nil"/>
              <w:left w:val="nil"/>
              <w:bottom w:val="single" w:sz="4" w:space="0" w:color="auto"/>
              <w:right w:val="single" w:sz="4" w:space="0" w:color="auto"/>
            </w:tcBorders>
            <w:shd w:val="clear" w:color="auto" w:fill="auto"/>
            <w:noWrap/>
            <w:vAlign w:val="bottom"/>
            <w:hideMark/>
          </w:tcPr>
          <w:p w14:paraId="5EE9EF58"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102,1</w:t>
            </w:r>
          </w:p>
        </w:tc>
        <w:tc>
          <w:tcPr>
            <w:tcW w:w="1452" w:type="dxa"/>
            <w:tcBorders>
              <w:top w:val="nil"/>
              <w:left w:val="nil"/>
              <w:bottom w:val="single" w:sz="4" w:space="0" w:color="auto"/>
              <w:right w:val="single" w:sz="4" w:space="0" w:color="auto"/>
            </w:tcBorders>
            <w:shd w:val="clear" w:color="auto" w:fill="auto"/>
            <w:noWrap/>
            <w:vAlign w:val="bottom"/>
            <w:hideMark/>
          </w:tcPr>
          <w:p w14:paraId="4F8FDF5B"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6,4</w:t>
            </w:r>
          </w:p>
        </w:tc>
        <w:tc>
          <w:tcPr>
            <w:tcW w:w="1452" w:type="dxa"/>
            <w:tcBorders>
              <w:top w:val="nil"/>
              <w:left w:val="nil"/>
              <w:bottom w:val="single" w:sz="4" w:space="0" w:color="auto"/>
              <w:right w:val="single" w:sz="4" w:space="0" w:color="auto"/>
            </w:tcBorders>
            <w:shd w:val="clear" w:color="auto" w:fill="auto"/>
            <w:noWrap/>
            <w:vAlign w:val="bottom"/>
            <w:hideMark/>
          </w:tcPr>
          <w:p w14:paraId="5D787E79"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6,1</w:t>
            </w:r>
          </w:p>
        </w:tc>
      </w:tr>
      <w:tr w:rsidR="00013BBC" w:rsidRPr="00E00086" w14:paraId="58C866E0"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6B3DEA89" w14:textId="77777777" w:rsidR="00013BBC" w:rsidRPr="00E00086" w:rsidRDefault="00013BBC" w:rsidP="00BC2583">
            <w:pPr>
              <w:rPr>
                <w:rFonts w:ascii="Times New Roman" w:hAnsi="Times New Roman"/>
                <w:sz w:val="18"/>
                <w:szCs w:val="18"/>
                <w:lang w:val="sr-Cyrl-RS"/>
              </w:rPr>
            </w:pPr>
            <w:r w:rsidRPr="00E00086">
              <w:rPr>
                <w:rFonts w:ascii="Times New Roman" w:hAnsi="Times New Roman"/>
                <w:sz w:val="18"/>
                <w:szCs w:val="18"/>
                <w:lang w:val="sr-Cyrl-RS"/>
              </w:rPr>
              <w:t xml:space="preserve">     - Остале акцизе</w:t>
            </w:r>
          </w:p>
        </w:tc>
        <w:tc>
          <w:tcPr>
            <w:tcW w:w="1358" w:type="dxa"/>
            <w:tcBorders>
              <w:top w:val="nil"/>
              <w:left w:val="nil"/>
              <w:bottom w:val="single" w:sz="4" w:space="0" w:color="auto"/>
              <w:right w:val="single" w:sz="4" w:space="0" w:color="auto"/>
            </w:tcBorders>
            <w:shd w:val="clear" w:color="auto" w:fill="auto"/>
            <w:noWrap/>
            <w:vAlign w:val="bottom"/>
            <w:hideMark/>
          </w:tcPr>
          <w:p w14:paraId="415B7764"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50,0</w:t>
            </w:r>
          </w:p>
        </w:tc>
        <w:tc>
          <w:tcPr>
            <w:tcW w:w="1359" w:type="dxa"/>
            <w:tcBorders>
              <w:top w:val="nil"/>
              <w:left w:val="nil"/>
              <w:bottom w:val="single" w:sz="4" w:space="0" w:color="auto"/>
              <w:right w:val="single" w:sz="4" w:space="0" w:color="auto"/>
            </w:tcBorders>
            <w:shd w:val="clear" w:color="auto" w:fill="auto"/>
            <w:noWrap/>
            <w:vAlign w:val="bottom"/>
            <w:hideMark/>
          </w:tcPr>
          <w:p w14:paraId="6D000746"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50,9</w:t>
            </w:r>
          </w:p>
        </w:tc>
        <w:tc>
          <w:tcPr>
            <w:tcW w:w="1511" w:type="dxa"/>
            <w:tcBorders>
              <w:top w:val="nil"/>
              <w:left w:val="nil"/>
              <w:bottom w:val="single" w:sz="4" w:space="0" w:color="auto"/>
              <w:right w:val="single" w:sz="4" w:space="0" w:color="auto"/>
            </w:tcBorders>
            <w:shd w:val="clear" w:color="auto" w:fill="auto"/>
            <w:noWrap/>
            <w:vAlign w:val="bottom"/>
            <w:hideMark/>
          </w:tcPr>
          <w:p w14:paraId="3524015D"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101,8</w:t>
            </w:r>
          </w:p>
        </w:tc>
        <w:tc>
          <w:tcPr>
            <w:tcW w:w="1452" w:type="dxa"/>
            <w:tcBorders>
              <w:top w:val="nil"/>
              <w:left w:val="nil"/>
              <w:bottom w:val="single" w:sz="4" w:space="0" w:color="auto"/>
              <w:right w:val="single" w:sz="4" w:space="0" w:color="auto"/>
            </w:tcBorders>
            <w:shd w:val="clear" w:color="auto" w:fill="auto"/>
            <w:noWrap/>
            <w:vAlign w:val="bottom"/>
            <w:hideMark/>
          </w:tcPr>
          <w:p w14:paraId="41552D38"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2,3</w:t>
            </w:r>
          </w:p>
        </w:tc>
        <w:tc>
          <w:tcPr>
            <w:tcW w:w="1452" w:type="dxa"/>
            <w:tcBorders>
              <w:top w:val="nil"/>
              <w:left w:val="nil"/>
              <w:bottom w:val="single" w:sz="4" w:space="0" w:color="auto"/>
              <w:right w:val="single" w:sz="4" w:space="0" w:color="auto"/>
            </w:tcBorders>
            <w:shd w:val="clear" w:color="auto" w:fill="auto"/>
            <w:noWrap/>
            <w:vAlign w:val="bottom"/>
            <w:hideMark/>
          </w:tcPr>
          <w:p w14:paraId="7BB48E6A"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2,2</w:t>
            </w:r>
          </w:p>
        </w:tc>
      </w:tr>
      <w:tr w:rsidR="00013BBC" w:rsidRPr="00E00086" w14:paraId="33243ACB"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1B1F8EA5" w14:textId="77777777" w:rsidR="00013BBC" w:rsidRPr="00E00086" w:rsidRDefault="00013BBC" w:rsidP="00BC2583">
            <w:pPr>
              <w:rPr>
                <w:rFonts w:ascii="Times New Roman" w:hAnsi="Times New Roman"/>
                <w:sz w:val="18"/>
                <w:szCs w:val="18"/>
                <w:lang w:val="sr-Cyrl-RS"/>
              </w:rPr>
            </w:pPr>
            <w:r w:rsidRPr="00E00086">
              <w:rPr>
                <w:rFonts w:ascii="Times New Roman" w:hAnsi="Times New Roman"/>
                <w:sz w:val="18"/>
                <w:szCs w:val="18"/>
                <w:lang w:val="sr-Cyrl-RS"/>
              </w:rPr>
              <w:t xml:space="preserve">  Царине</w:t>
            </w:r>
          </w:p>
        </w:tc>
        <w:tc>
          <w:tcPr>
            <w:tcW w:w="1358" w:type="dxa"/>
            <w:tcBorders>
              <w:top w:val="nil"/>
              <w:left w:val="nil"/>
              <w:bottom w:val="single" w:sz="4" w:space="0" w:color="auto"/>
              <w:right w:val="single" w:sz="4" w:space="0" w:color="auto"/>
            </w:tcBorders>
            <w:shd w:val="clear" w:color="auto" w:fill="auto"/>
            <w:noWrap/>
            <w:vAlign w:val="bottom"/>
            <w:hideMark/>
          </w:tcPr>
          <w:p w14:paraId="24B01FAB"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88,0</w:t>
            </w:r>
          </w:p>
        </w:tc>
        <w:tc>
          <w:tcPr>
            <w:tcW w:w="1359" w:type="dxa"/>
            <w:tcBorders>
              <w:top w:val="nil"/>
              <w:left w:val="nil"/>
              <w:bottom w:val="single" w:sz="4" w:space="0" w:color="auto"/>
              <w:right w:val="single" w:sz="4" w:space="0" w:color="auto"/>
            </w:tcBorders>
            <w:shd w:val="clear" w:color="auto" w:fill="auto"/>
            <w:noWrap/>
            <w:vAlign w:val="bottom"/>
            <w:hideMark/>
          </w:tcPr>
          <w:p w14:paraId="13BBA0CA"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95,3</w:t>
            </w:r>
          </w:p>
        </w:tc>
        <w:tc>
          <w:tcPr>
            <w:tcW w:w="1511" w:type="dxa"/>
            <w:tcBorders>
              <w:top w:val="nil"/>
              <w:left w:val="nil"/>
              <w:bottom w:val="single" w:sz="4" w:space="0" w:color="auto"/>
              <w:right w:val="single" w:sz="4" w:space="0" w:color="auto"/>
            </w:tcBorders>
            <w:shd w:val="clear" w:color="auto" w:fill="auto"/>
            <w:noWrap/>
            <w:vAlign w:val="bottom"/>
            <w:hideMark/>
          </w:tcPr>
          <w:p w14:paraId="20142BAB"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108,3</w:t>
            </w:r>
          </w:p>
        </w:tc>
        <w:tc>
          <w:tcPr>
            <w:tcW w:w="1452" w:type="dxa"/>
            <w:tcBorders>
              <w:top w:val="nil"/>
              <w:left w:val="nil"/>
              <w:bottom w:val="single" w:sz="4" w:space="0" w:color="auto"/>
              <w:right w:val="single" w:sz="4" w:space="0" w:color="auto"/>
            </w:tcBorders>
            <w:shd w:val="clear" w:color="auto" w:fill="auto"/>
            <w:noWrap/>
            <w:vAlign w:val="bottom"/>
            <w:hideMark/>
          </w:tcPr>
          <w:p w14:paraId="40DC0122"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4,0</w:t>
            </w:r>
          </w:p>
        </w:tc>
        <w:tc>
          <w:tcPr>
            <w:tcW w:w="1452" w:type="dxa"/>
            <w:tcBorders>
              <w:top w:val="nil"/>
              <w:left w:val="nil"/>
              <w:bottom w:val="single" w:sz="4" w:space="0" w:color="auto"/>
              <w:right w:val="single" w:sz="4" w:space="0" w:color="auto"/>
            </w:tcBorders>
            <w:shd w:val="clear" w:color="auto" w:fill="auto"/>
            <w:noWrap/>
            <w:vAlign w:val="bottom"/>
            <w:hideMark/>
          </w:tcPr>
          <w:p w14:paraId="5324502A"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4,1</w:t>
            </w:r>
          </w:p>
        </w:tc>
      </w:tr>
      <w:tr w:rsidR="00013BBC" w:rsidRPr="00E00086" w14:paraId="0E78555B"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0FF047EE" w14:textId="77777777" w:rsidR="00013BBC" w:rsidRPr="00E00086" w:rsidRDefault="00013BBC" w:rsidP="00BC2583">
            <w:pPr>
              <w:rPr>
                <w:rFonts w:ascii="Times New Roman" w:hAnsi="Times New Roman"/>
                <w:sz w:val="18"/>
                <w:szCs w:val="18"/>
                <w:lang w:val="sr-Cyrl-RS"/>
              </w:rPr>
            </w:pPr>
            <w:r w:rsidRPr="00E00086">
              <w:rPr>
                <w:rFonts w:ascii="Times New Roman" w:hAnsi="Times New Roman"/>
                <w:sz w:val="18"/>
                <w:szCs w:val="18"/>
                <w:lang w:val="sr-Cyrl-RS"/>
              </w:rPr>
              <w:t xml:space="preserve">  Остали порески приходи</w:t>
            </w:r>
          </w:p>
        </w:tc>
        <w:tc>
          <w:tcPr>
            <w:tcW w:w="1358" w:type="dxa"/>
            <w:tcBorders>
              <w:top w:val="nil"/>
              <w:left w:val="nil"/>
              <w:bottom w:val="single" w:sz="4" w:space="0" w:color="auto"/>
              <w:right w:val="single" w:sz="4" w:space="0" w:color="auto"/>
            </w:tcBorders>
            <w:shd w:val="clear" w:color="auto" w:fill="auto"/>
            <w:noWrap/>
            <w:vAlign w:val="bottom"/>
            <w:hideMark/>
          </w:tcPr>
          <w:p w14:paraId="10042232"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16,0</w:t>
            </w:r>
          </w:p>
        </w:tc>
        <w:tc>
          <w:tcPr>
            <w:tcW w:w="1359" w:type="dxa"/>
            <w:tcBorders>
              <w:top w:val="nil"/>
              <w:left w:val="nil"/>
              <w:bottom w:val="single" w:sz="4" w:space="0" w:color="auto"/>
              <w:right w:val="single" w:sz="4" w:space="0" w:color="auto"/>
            </w:tcBorders>
            <w:shd w:val="clear" w:color="auto" w:fill="auto"/>
            <w:noWrap/>
            <w:vAlign w:val="bottom"/>
            <w:hideMark/>
          </w:tcPr>
          <w:p w14:paraId="09A09C81"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16,6</w:t>
            </w:r>
          </w:p>
        </w:tc>
        <w:tc>
          <w:tcPr>
            <w:tcW w:w="1511" w:type="dxa"/>
            <w:tcBorders>
              <w:top w:val="nil"/>
              <w:left w:val="nil"/>
              <w:bottom w:val="single" w:sz="4" w:space="0" w:color="auto"/>
              <w:right w:val="single" w:sz="4" w:space="0" w:color="auto"/>
            </w:tcBorders>
            <w:shd w:val="clear" w:color="auto" w:fill="auto"/>
            <w:noWrap/>
            <w:vAlign w:val="bottom"/>
            <w:hideMark/>
          </w:tcPr>
          <w:p w14:paraId="71A0A726"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103,8</w:t>
            </w:r>
          </w:p>
        </w:tc>
        <w:tc>
          <w:tcPr>
            <w:tcW w:w="1452" w:type="dxa"/>
            <w:tcBorders>
              <w:top w:val="nil"/>
              <w:left w:val="nil"/>
              <w:bottom w:val="single" w:sz="4" w:space="0" w:color="auto"/>
              <w:right w:val="single" w:sz="4" w:space="0" w:color="auto"/>
            </w:tcBorders>
            <w:shd w:val="clear" w:color="auto" w:fill="auto"/>
            <w:noWrap/>
            <w:vAlign w:val="bottom"/>
            <w:hideMark/>
          </w:tcPr>
          <w:p w14:paraId="3B39560A"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0,7</w:t>
            </w:r>
          </w:p>
        </w:tc>
        <w:tc>
          <w:tcPr>
            <w:tcW w:w="1452" w:type="dxa"/>
            <w:tcBorders>
              <w:top w:val="nil"/>
              <w:left w:val="nil"/>
              <w:bottom w:val="single" w:sz="4" w:space="0" w:color="auto"/>
              <w:right w:val="single" w:sz="4" w:space="0" w:color="auto"/>
            </w:tcBorders>
            <w:shd w:val="clear" w:color="auto" w:fill="auto"/>
            <w:noWrap/>
            <w:vAlign w:val="bottom"/>
            <w:hideMark/>
          </w:tcPr>
          <w:p w14:paraId="21A69394" w14:textId="77777777" w:rsidR="00013BBC" w:rsidRPr="00E00086" w:rsidRDefault="00013BBC" w:rsidP="00BC2583">
            <w:pPr>
              <w:jc w:val="right"/>
              <w:rPr>
                <w:rFonts w:ascii="Times New Roman" w:hAnsi="Times New Roman"/>
                <w:bCs/>
                <w:color w:val="000000"/>
                <w:sz w:val="18"/>
                <w:szCs w:val="18"/>
                <w:lang w:val="sr-Cyrl-RS"/>
              </w:rPr>
            </w:pPr>
            <w:r w:rsidRPr="00E00086">
              <w:rPr>
                <w:rFonts w:ascii="Times New Roman" w:hAnsi="Times New Roman"/>
                <w:bCs/>
                <w:color w:val="000000"/>
                <w:sz w:val="18"/>
                <w:szCs w:val="18"/>
                <w:lang w:val="sr-Cyrl-RS"/>
              </w:rPr>
              <w:t>0,7</w:t>
            </w:r>
          </w:p>
        </w:tc>
      </w:tr>
      <w:tr w:rsidR="00013BBC" w:rsidRPr="00E00086" w14:paraId="081CC251"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396F4D90" w14:textId="77777777" w:rsidR="00013BBC" w:rsidRPr="00E00086" w:rsidRDefault="00013BBC" w:rsidP="00BC2583">
            <w:pPr>
              <w:rPr>
                <w:rFonts w:ascii="Times New Roman" w:hAnsi="Times New Roman"/>
                <w:b/>
                <w:bCs/>
                <w:sz w:val="18"/>
                <w:szCs w:val="18"/>
                <w:lang w:val="sr-Cyrl-RS"/>
              </w:rPr>
            </w:pPr>
            <w:r w:rsidRPr="00E00086">
              <w:rPr>
                <w:rFonts w:ascii="Times New Roman" w:hAnsi="Times New Roman"/>
                <w:b/>
                <w:bCs/>
                <w:sz w:val="18"/>
                <w:szCs w:val="18"/>
                <w:lang w:val="sr-Cyrl-RS"/>
              </w:rPr>
              <w:t xml:space="preserve"> Непорески приходи</w:t>
            </w:r>
          </w:p>
        </w:tc>
        <w:tc>
          <w:tcPr>
            <w:tcW w:w="1358" w:type="dxa"/>
            <w:tcBorders>
              <w:top w:val="nil"/>
              <w:left w:val="nil"/>
              <w:bottom w:val="single" w:sz="4" w:space="0" w:color="auto"/>
              <w:right w:val="single" w:sz="4" w:space="0" w:color="auto"/>
            </w:tcBorders>
            <w:shd w:val="clear" w:color="auto" w:fill="auto"/>
            <w:noWrap/>
            <w:vAlign w:val="bottom"/>
            <w:hideMark/>
          </w:tcPr>
          <w:p w14:paraId="7DFF6E6B"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275,1</w:t>
            </w:r>
          </w:p>
        </w:tc>
        <w:tc>
          <w:tcPr>
            <w:tcW w:w="1359" w:type="dxa"/>
            <w:tcBorders>
              <w:top w:val="nil"/>
              <w:left w:val="nil"/>
              <w:bottom w:val="single" w:sz="4" w:space="0" w:color="auto"/>
              <w:right w:val="single" w:sz="4" w:space="0" w:color="auto"/>
            </w:tcBorders>
            <w:shd w:val="clear" w:color="auto" w:fill="auto"/>
            <w:noWrap/>
            <w:vAlign w:val="bottom"/>
            <w:hideMark/>
          </w:tcPr>
          <w:p w14:paraId="4B3BE84B"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325,7</w:t>
            </w:r>
          </w:p>
        </w:tc>
        <w:tc>
          <w:tcPr>
            <w:tcW w:w="1511" w:type="dxa"/>
            <w:tcBorders>
              <w:top w:val="nil"/>
              <w:left w:val="nil"/>
              <w:bottom w:val="single" w:sz="4" w:space="0" w:color="auto"/>
              <w:right w:val="single" w:sz="4" w:space="0" w:color="auto"/>
            </w:tcBorders>
            <w:shd w:val="clear" w:color="auto" w:fill="auto"/>
            <w:noWrap/>
            <w:vAlign w:val="bottom"/>
            <w:hideMark/>
          </w:tcPr>
          <w:p w14:paraId="544B74F7"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118,4</w:t>
            </w:r>
          </w:p>
        </w:tc>
        <w:tc>
          <w:tcPr>
            <w:tcW w:w="1452" w:type="dxa"/>
            <w:tcBorders>
              <w:top w:val="nil"/>
              <w:left w:val="nil"/>
              <w:bottom w:val="single" w:sz="4" w:space="0" w:color="auto"/>
              <w:right w:val="single" w:sz="4" w:space="0" w:color="auto"/>
            </w:tcBorders>
            <w:shd w:val="clear" w:color="auto" w:fill="auto"/>
            <w:noWrap/>
            <w:vAlign w:val="bottom"/>
            <w:hideMark/>
          </w:tcPr>
          <w:p w14:paraId="6DD2FAE6"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12,7</w:t>
            </w:r>
          </w:p>
        </w:tc>
        <w:tc>
          <w:tcPr>
            <w:tcW w:w="1452" w:type="dxa"/>
            <w:tcBorders>
              <w:top w:val="nil"/>
              <w:left w:val="nil"/>
              <w:bottom w:val="single" w:sz="4" w:space="0" w:color="auto"/>
              <w:right w:val="single" w:sz="4" w:space="0" w:color="auto"/>
            </w:tcBorders>
            <w:shd w:val="clear" w:color="auto" w:fill="auto"/>
            <w:noWrap/>
            <w:vAlign w:val="bottom"/>
            <w:hideMark/>
          </w:tcPr>
          <w:p w14:paraId="51F03B38"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13,9</w:t>
            </w:r>
          </w:p>
        </w:tc>
      </w:tr>
      <w:tr w:rsidR="00013BBC" w:rsidRPr="00E00086" w14:paraId="205F69E0" w14:textId="77777777" w:rsidTr="00BC2583">
        <w:trPr>
          <w:trHeight w:val="20"/>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52575146" w14:textId="77777777" w:rsidR="00013BBC" w:rsidRPr="00E00086" w:rsidRDefault="00013BBC" w:rsidP="00BC2583">
            <w:pPr>
              <w:rPr>
                <w:rFonts w:ascii="Times New Roman" w:hAnsi="Times New Roman"/>
                <w:b/>
                <w:bCs/>
                <w:sz w:val="18"/>
                <w:szCs w:val="18"/>
                <w:lang w:val="sr-Cyrl-RS"/>
              </w:rPr>
            </w:pPr>
            <w:r w:rsidRPr="00E00086">
              <w:rPr>
                <w:rFonts w:ascii="Times New Roman" w:hAnsi="Times New Roman"/>
                <w:b/>
                <w:bCs/>
                <w:sz w:val="18"/>
                <w:szCs w:val="18"/>
                <w:lang w:val="sr-Cyrl-RS"/>
              </w:rPr>
              <w:t xml:space="preserve"> Донације</w:t>
            </w:r>
          </w:p>
        </w:tc>
        <w:tc>
          <w:tcPr>
            <w:tcW w:w="1358" w:type="dxa"/>
            <w:tcBorders>
              <w:top w:val="nil"/>
              <w:left w:val="nil"/>
              <w:bottom w:val="single" w:sz="4" w:space="0" w:color="auto"/>
              <w:right w:val="single" w:sz="4" w:space="0" w:color="auto"/>
            </w:tcBorders>
            <w:shd w:val="clear" w:color="auto" w:fill="auto"/>
            <w:noWrap/>
            <w:vAlign w:val="bottom"/>
            <w:hideMark/>
          </w:tcPr>
          <w:p w14:paraId="7AD5DEF1"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33,5</w:t>
            </w:r>
          </w:p>
        </w:tc>
        <w:tc>
          <w:tcPr>
            <w:tcW w:w="1359" w:type="dxa"/>
            <w:tcBorders>
              <w:top w:val="nil"/>
              <w:left w:val="nil"/>
              <w:bottom w:val="single" w:sz="4" w:space="0" w:color="auto"/>
              <w:right w:val="single" w:sz="4" w:space="0" w:color="auto"/>
            </w:tcBorders>
            <w:shd w:val="clear" w:color="auto" w:fill="auto"/>
            <w:noWrap/>
            <w:vAlign w:val="bottom"/>
            <w:hideMark/>
          </w:tcPr>
          <w:p w14:paraId="79D6AEB2"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35,4</w:t>
            </w:r>
          </w:p>
        </w:tc>
        <w:tc>
          <w:tcPr>
            <w:tcW w:w="1511" w:type="dxa"/>
            <w:tcBorders>
              <w:top w:val="nil"/>
              <w:left w:val="nil"/>
              <w:bottom w:val="single" w:sz="4" w:space="0" w:color="auto"/>
              <w:right w:val="single" w:sz="4" w:space="0" w:color="auto"/>
            </w:tcBorders>
            <w:shd w:val="clear" w:color="auto" w:fill="auto"/>
            <w:noWrap/>
            <w:vAlign w:val="bottom"/>
            <w:hideMark/>
          </w:tcPr>
          <w:p w14:paraId="3BF8D947"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105,9</w:t>
            </w:r>
          </w:p>
        </w:tc>
        <w:tc>
          <w:tcPr>
            <w:tcW w:w="1452" w:type="dxa"/>
            <w:tcBorders>
              <w:top w:val="nil"/>
              <w:left w:val="nil"/>
              <w:bottom w:val="single" w:sz="4" w:space="0" w:color="auto"/>
              <w:right w:val="single" w:sz="4" w:space="0" w:color="auto"/>
            </w:tcBorders>
            <w:shd w:val="clear" w:color="auto" w:fill="auto"/>
            <w:noWrap/>
            <w:vAlign w:val="bottom"/>
            <w:hideMark/>
          </w:tcPr>
          <w:p w14:paraId="54B440F3"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1,5</w:t>
            </w:r>
          </w:p>
        </w:tc>
        <w:tc>
          <w:tcPr>
            <w:tcW w:w="1452" w:type="dxa"/>
            <w:tcBorders>
              <w:top w:val="nil"/>
              <w:left w:val="nil"/>
              <w:bottom w:val="single" w:sz="4" w:space="0" w:color="auto"/>
              <w:right w:val="single" w:sz="4" w:space="0" w:color="auto"/>
            </w:tcBorders>
            <w:shd w:val="clear" w:color="auto" w:fill="auto"/>
            <w:noWrap/>
            <w:vAlign w:val="bottom"/>
            <w:hideMark/>
          </w:tcPr>
          <w:p w14:paraId="222C810C" w14:textId="77777777" w:rsidR="00013BBC" w:rsidRPr="00E00086" w:rsidRDefault="00013BBC" w:rsidP="00BC2583">
            <w:pPr>
              <w:jc w:val="right"/>
              <w:rPr>
                <w:rFonts w:ascii="Times New Roman" w:hAnsi="Times New Roman"/>
                <w:b/>
                <w:bCs/>
                <w:color w:val="000000"/>
                <w:sz w:val="18"/>
                <w:szCs w:val="18"/>
                <w:lang w:val="sr-Cyrl-RS"/>
              </w:rPr>
            </w:pPr>
            <w:r w:rsidRPr="00E00086">
              <w:rPr>
                <w:rFonts w:ascii="Times New Roman" w:hAnsi="Times New Roman"/>
                <w:b/>
                <w:bCs/>
                <w:color w:val="000000"/>
                <w:sz w:val="18"/>
                <w:szCs w:val="18"/>
                <w:lang w:val="sr-Cyrl-RS"/>
              </w:rPr>
              <w:t>1,5</w:t>
            </w:r>
          </w:p>
        </w:tc>
      </w:tr>
    </w:tbl>
    <w:p w14:paraId="076D78EA" w14:textId="77777777" w:rsidR="00013BBC" w:rsidRPr="00E00086" w:rsidRDefault="00013BBC" w:rsidP="00013BBC">
      <w:pPr>
        <w:tabs>
          <w:tab w:val="left" w:pos="720"/>
          <w:tab w:val="left" w:pos="1440"/>
        </w:tabs>
        <w:spacing w:after="120"/>
        <w:rPr>
          <w:rFonts w:ascii="Times New Roman" w:hAnsi="Times New Roman"/>
          <w:b/>
          <w:szCs w:val="24"/>
          <w:lang w:val="sr-Cyrl-RS"/>
        </w:rPr>
      </w:pPr>
    </w:p>
    <w:p w14:paraId="2244E476" w14:textId="77777777" w:rsidR="00FA154F" w:rsidRPr="00E00086" w:rsidRDefault="00FA154F" w:rsidP="00013BBC">
      <w:pPr>
        <w:spacing w:after="120"/>
        <w:ind w:firstLine="720"/>
        <w:rPr>
          <w:rFonts w:ascii="Times New Roman" w:hAnsi="Times New Roman"/>
          <w:b/>
          <w:szCs w:val="24"/>
          <w:lang w:val="sr-Cyrl-RS"/>
        </w:rPr>
      </w:pPr>
    </w:p>
    <w:p w14:paraId="0DC467E0" w14:textId="6FE75D7A" w:rsidR="00013BBC" w:rsidRPr="00E00086" w:rsidRDefault="00013BBC" w:rsidP="00013BBC">
      <w:pPr>
        <w:spacing w:after="120"/>
        <w:ind w:firstLine="720"/>
        <w:rPr>
          <w:rFonts w:ascii="Times New Roman" w:hAnsi="Times New Roman"/>
          <w:szCs w:val="24"/>
          <w:lang w:val="sr-Cyrl-RS"/>
        </w:rPr>
      </w:pPr>
      <w:r w:rsidRPr="00E00086">
        <w:rPr>
          <w:rFonts w:ascii="Times New Roman" w:hAnsi="Times New Roman"/>
          <w:b/>
          <w:szCs w:val="24"/>
          <w:lang w:val="sr-Cyrl-RS"/>
        </w:rPr>
        <w:t>Порез на доходак</w:t>
      </w:r>
      <w:r w:rsidRPr="00E00086">
        <w:rPr>
          <w:rFonts w:ascii="Times New Roman" w:hAnsi="Times New Roman"/>
          <w:szCs w:val="24"/>
          <w:lang w:val="sr-Cyrl-RS"/>
        </w:rPr>
        <w:t xml:space="preserve"> пројектован је у износу од 138,4 млрд динара и већи је 7,9% у односу на процењени износ у 2024. години. Учешће пореза на доходак у 202</w:t>
      </w:r>
      <w:r w:rsidR="00A2238D">
        <w:rPr>
          <w:rFonts w:ascii="Times New Roman" w:hAnsi="Times New Roman"/>
          <w:szCs w:val="24"/>
          <w:lang w:val="sr-Cyrl-RS"/>
        </w:rPr>
        <w:t>5</w:t>
      </w:r>
      <w:r w:rsidRPr="00E00086">
        <w:rPr>
          <w:rFonts w:ascii="Times New Roman" w:hAnsi="Times New Roman"/>
          <w:szCs w:val="24"/>
          <w:lang w:val="sr-Cyrl-RS"/>
        </w:rPr>
        <w:t xml:space="preserve">. години </w:t>
      </w:r>
      <w:r w:rsidRPr="00E00086">
        <w:rPr>
          <w:rFonts w:ascii="Times New Roman" w:hAnsi="Times New Roman"/>
          <w:szCs w:val="24"/>
          <w:lang w:val="sr-Cyrl-RS"/>
        </w:rPr>
        <w:lastRenderedPageBreak/>
        <w:t xml:space="preserve">износи </w:t>
      </w:r>
      <w:r w:rsidRPr="00E00086">
        <w:rPr>
          <w:rFonts w:ascii="Times New Roman" w:hAnsi="Times New Roman"/>
          <w:color w:val="000000" w:themeColor="text1"/>
          <w:szCs w:val="24"/>
          <w:lang w:val="sr-Cyrl-RS"/>
        </w:rPr>
        <w:t xml:space="preserve">5,9% </w:t>
      </w:r>
      <w:r w:rsidRPr="00E00086">
        <w:rPr>
          <w:rFonts w:ascii="Times New Roman" w:hAnsi="Times New Roman"/>
          <w:szCs w:val="24"/>
          <w:lang w:val="sr-Cyrl-RS"/>
        </w:rPr>
        <w:t xml:space="preserve">у укупним буџетским приходима и задржава исти ниво у односу на претходну годину. Процена прихода по овом основу узима у обзир значајно повећање минималне зараде, планирано повећање зарада у јавном сектору, одржавање позитивних трендова на тржишту рада у оквиру приватног сектора и повећање неопорезивог дела зараде. Због предвиђеног повећања неопорезивог дела зараде, стопа раста пореза на зараде у наредној години биће нешто нижа у односу на планирани раст масе зарада. Порез на зараде, као највећи део прихода од пореза на доходак, пројектован је у износу од 76,6 млрд динара. </w:t>
      </w:r>
    </w:p>
    <w:p w14:paraId="42D1BF10" w14:textId="77777777" w:rsidR="00013BBC" w:rsidRPr="00E00086" w:rsidRDefault="00013BBC" w:rsidP="00013BBC">
      <w:pPr>
        <w:spacing w:after="120"/>
        <w:ind w:firstLine="720"/>
        <w:rPr>
          <w:rFonts w:ascii="Times New Roman" w:hAnsi="Times New Roman"/>
          <w:b/>
          <w:szCs w:val="24"/>
          <w:lang w:val="sr-Cyrl-RS"/>
        </w:rPr>
      </w:pPr>
      <w:r w:rsidRPr="00E00086">
        <w:rPr>
          <w:rFonts w:ascii="Times New Roman" w:hAnsi="Times New Roman"/>
          <w:szCs w:val="24"/>
          <w:lang w:val="sr-Cyrl-RS"/>
        </w:rPr>
        <w:t>Други део укупних пореза на доходак чине остали облици као што су порез на дивиденде, порез на приходе од камата, годишњи порез на доходак и порез на приходе од закупа непокретности. Приходи од дивиденди и осталих облика пореза на доходак генерално прате кретање опште економске активности и зарада из претходне године, али су и под значајним утицајем пословних одлука компанија у вези политике дивиденди и инвестиција. Ова група прихода пројектована је у укупном износу од 61,8 млрд динара.</w:t>
      </w:r>
    </w:p>
    <w:p w14:paraId="039B959E" w14:textId="77777777" w:rsidR="00013BBC" w:rsidRPr="00E00086" w:rsidRDefault="00013BBC" w:rsidP="00013BBC">
      <w:pPr>
        <w:spacing w:after="120"/>
        <w:rPr>
          <w:rFonts w:ascii="Calibri" w:hAnsi="Calibri"/>
          <w:lang w:val="sr-Cyrl-RS"/>
        </w:rPr>
      </w:pPr>
      <w:r w:rsidRPr="00E00086">
        <w:rPr>
          <w:rFonts w:ascii="Times New Roman" w:hAnsi="Times New Roman"/>
          <w:b/>
          <w:szCs w:val="24"/>
          <w:lang w:val="sr-Cyrl-RS"/>
        </w:rPr>
        <w:tab/>
        <w:t>Порез на добит</w:t>
      </w:r>
      <w:r w:rsidRPr="00E00086">
        <w:rPr>
          <w:rFonts w:ascii="Times New Roman" w:hAnsi="Times New Roman"/>
          <w:szCs w:val="24"/>
          <w:lang w:val="sr-Cyrl-RS"/>
        </w:rPr>
        <w:t xml:space="preserve"> правних лица пројектован је у износу од 258,8 млрд динара и смањен је за 6,7 млрд у односу на процењен износ у 2024. години. У укупним приходима буџета овај порески облик </w:t>
      </w:r>
      <w:r w:rsidRPr="00E00086">
        <w:rPr>
          <w:rFonts w:ascii="Times New Roman" w:hAnsi="Times New Roman"/>
          <w:color w:val="000000" w:themeColor="text1"/>
          <w:szCs w:val="24"/>
          <w:lang w:val="sr-Cyrl-RS"/>
        </w:rPr>
        <w:t xml:space="preserve">чини 11%. </w:t>
      </w:r>
      <w:r w:rsidRPr="00E00086">
        <w:rPr>
          <w:rFonts w:ascii="Times New Roman" w:hAnsi="Times New Roman"/>
          <w:szCs w:val="24"/>
          <w:lang w:val="sr-Cyrl-RS"/>
        </w:rPr>
        <w:t xml:space="preserve">Подаци о укупној профитабилности нису познати у тренутку израде буџета те се пројекцији овог прихода приступа опрезно. Већи приходи по основу пореза на добит у 2023. и 2024. години повећали су учешће у БДП овог прихода изнад просечних вредности забележених у претходном периоду. Водећи се принципом опрезности, у наредној години предвиђено је враћање учешћа овог пореза у БДП на вишегодишњи просечни ниво. </w:t>
      </w:r>
    </w:p>
    <w:p w14:paraId="02C788D9" w14:textId="008240D0" w:rsidR="00013BBC" w:rsidRPr="00E00086" w:rsidRDefault="00013BBC" w:rsidP="00013BBC">
      <w:pPr>
        <w:tabs>
          <w:tab w:val="left" w:pos="1440"/>
        </w:tabs>
        <w:spacing w:after="120"/>
        <w:ind w:firstLine="720"/>
        <w:rPr>
          <w:rFonts w:ascii="Times New Roman" w:hAnsi="Times New Roman"/>
          <w:szCs w:val="24"/>
          <w:lang w:val="sr-Cyrl-RS"/>
        </w:rPr>
      </w:pPr>
      <w:r w:rsidRPr="00E00086">
        <w:rPr>
          <w:rFonts w:ascii="Times New Roman" w:hAnsi="Times New Roman"/>
          <w:b/>
          <w:szCs w:val="24"/>
          <w:lang w:val="sr-Cyrl-RS"/>
        </w:rPr>
        <w:t>Порез на додату вредност</w:t>
      </w:r>
      <w:r w:rsidRPr="00E00086">
        <w:rPr>
          <w:rFonts w:ascii="Times New Roman" w:hAnsi="Times New Roman"/>
          <w:szCs w:val="24"/>
          <w:lang w:val="sr-Cyrl-RS"/>
        </w:rPr>
        <w:t xml:space="preserve"> пројектован је у висини од 1.056 млрд динара што представља номинално повећање од 10% у односу на износ предвиђен у 2024. години. Учешће ПДВ у структури укупних прихода, у 2025. години, расте и </w:t>
      </w:r>
      <w:r w:rsidRPr="00E00086">
        <w:rPr>
          <w:rFonts w:ascii="Times New Roman" w:hAnsi="Times New Roman"/>
          <w:color w:val="000000" w:themeColor="text1"/>
          <w:szCs w:val="24"/>
          <w:lang w:val="sr-Cyrl-RS"/>
        </w:rPr>
        <w:t xml:space="preserve">износи 45%. </w:t>
      </w:r>
      <w:r w:rsidRPr="00E00086">
        <w:rPr>
          <w:rFonts w:ascii="Times New Roman" w:hAnsi="Times New Roman"/>
          <w:szCs w:val="24"/>
          <w:lang w:val="sr-Cyrl-RS"/>
        </w:rPr>
        <w:t>Главна детерминанта кретања ПДВ је домаћа тражња вођена расположивим дохотком становништва. Расположиви доходак зависи од кретања зарада, пензија, социјалне помоћи и осталих облика доходака, укључујући и дознаке, као и од нивоа кредитне активности банака ка становништву. Мере усмерене на очување стандарда и куповне моћи становништва (раст минималне зараде, повећање плата у јавном сектору, редовно усклађивања пензија, повећање социјалних давања), уз претпостављено кретање зарада у приватном сектору, утицаће на ниво расположивог дохотка у 2025. години. Tоком 2022. и 2023. године дошло до нарушавања устаљене динамике потрошње и прихода од ПДВ. У 2022. години дошло је до раста потрошње који је, добрим делом, проистекао из потрошње лица која су привремено боравила у земљи, већег прилива од туризма и значајног раста дознака, као и реализованог фискалног стимулуса. Поред тога, током 2022. године дошло је и до пораста такозване „паничне</w:t>
      </w:r>
      <w:r w:rsidR="00A34AEA">
        <w:rPr>
          <w:rFonts w:ascii="Times New Roman" w:hAnsi="Times New Roman"/>
          <w:szCs w:val="24"/>
          <w:lang w:val="sr-Cyrl-RS"/>
        </w:rPr>
        <w:t>ˮ</w:t>
      </w:r>
      <w:r w:rsidRPr="00E00086">
        <w:rPr>
          <w:rFonts w:ascii="Times New Roman" w:hAnsi="Times New Roman"/>
          <w:szCs w:val="24"/>
          <w:lang w:val="sr-Cyrl-RS"/>
        </w:rPr>
        <w:t xml:space="preserve"> потрошње током првих месеци сукоба у Украјини. Ови фактори су допринели неструктурном повећању прихода од ПДВ-а у 2022. години, док су се ти ефекти током 2023. године, у највећој мери, исцрпели. Структурни опоравак личне потрошње бележи се у последњем кварталу 2023. године, а овај тренд се наставља и током 2024. године, при чему се динамика наплате коначно креће у очекиваним обрасцима.  </w:t>
      </w:r>
    </w:p>
    <w:p w14:paraId="3BD99405" w14:textId="77777777" w:rsidR="00013BBC" w:rsidRPr="00E00086" w:rsidRDefault="00013BBC" w:rsidP="00013BBC">
      <w:pPr>
        <w:tabs>
          <w:tab w:val="left" w:pos="1440"/>
        </w:tabs>
        <w:spacing w:after="120"/>
        <w:ind w:firstLine="720"/>
        <w:rPr>
          <w:rFonts w:ascii="Times New Roman" w:hAnsi="Times New Roman"/>
          <w:szCs w:val="24"/>
          <w:lang w:val="sr-Cyrl-RS"/>
        </w:rPr>
      </w:pPr>
      <w:r w:rsidRPr="00E00086">
        <w:rPr>
          <w:rFonts w:ascii="Times New Roman" w:hAnsi="Times New Roman"/>
          <w:szCs w:val="24"/>
          <w:lang w:val="sr-Cyrl-RS"/>
        </w:rPr>
        <w:t xml:space="preserve">Резултати ефикасније наплате и контроле пореских обвезника су присутни дужи период и очекује се да ти резултати буду очувани, с тим што ефекти борбе против сиве економије нису експлицитно укључени у пројекцију ПДВ. Ризици за остварење пројекције ПДВ у 2025. години произилазе из остварења макроекономских пројекција (раст привреде, кретање зарада и запослености у приватном сектору), као и одржања ефикасности наплате. </w:t>
      </w:r>
    </w:p>
    <w:p w14:paraId="25105D96" w14:textId="3A81D9DC" w:rsidR="00013BBC" w:rsidRPr="00E00086" w:rsidRDefault="00013BBC" w:rsidP="00013BBC">
      <w:pPr>
        <w:tabs>
          <w:tab w:val="left" w:pos="1440"/>
        </w:tabs>
        <w:spacing w:after="120"/>
        <w:ind w:firstLine="720"/>
        <w:rPr>
          <w:rFonts w:ascii="Times New Roman" w:hAnsi="Times New Roman"/>
          <w:szCs w:val="24"/>
          <w:lang w:val="sr-Cyrl-RS"/>
        </w:rPr>
      </w:pPr>
      <w:r w:rsidRPr="00E00086">
        <w:rPr>
          <w:rFonts w:ascii="Times New Roman" w:hAnsi="Times New Roman"/>
          <w:b/>
          <w:szCs w:val="24"/>
          <w:lang w:val="sr-Cyrl-RS"/>
        </w:rPr>
        <w:t>Приходи од акциза</w:t>
      </w:r>
      <w:r w:rsidRPr="00E00086">
        <w:rPr>
          <w:rFonts w:ascii="Times New Roman" w:hAnsi="Times New Roman"/>
          <w:szCs w:val="24"/>
          <w:lang w:val="sr-Cyrl-RS"/>
        </w:rPr>
        <w:t xml:space="preserve"> пројектовани су укупном износу од 420 млрд динара. Акцизе на нафтне деривате планирају се у износу од 226,1 млрд динара, акцизе на дуванске производе 143 млрд динара, док су остале акцизе планиране у износу од 50,9 млрд динара. Учешће акциза у укупним </w:t>
      </w:r>
      <w:r w:rsidRPr="00E00086">
        <w:rPr>
          <w:rFonts w:ascii="Times New Roman" w:hAnsi="Times New Roman"/>
          <w:color w:val="000000" w:themeColor="text1"/>
          <w:szCs w:val="24"/>
          <w:lang w:val="sr-Cyrl-RS"/>
        </w:rPr>
        <w:t xml:space="preserve">приходима износи 17,9%. Пројекција </w:t>
      </w:r>
      <w:r w:rsidRPr="00E00086">
        <w:rPr>
          <w:rFonts w:ascii="Times New Roman" w:hAnsi="Times New Roman"/>
          <w:szCs w:val="24"/>
          <w:lang w:val="sr-Cyrl-RS"/>
        </w:rPr>
        <w:t>прихода од акциза у 2025. години заснива се на очекив</w:t>
      </w:r>
      <w:r w:rsidR="003B7F43">
        <w:rPr>
          <w:rFonts w:ascii="Times New Roman" w:hAnsi="Times New Roman"/>
          <w:szCs w:val="24"/>
          <w:lang w:val="sr-Cyrl-RS"/>
        </w:rPr>
        <w:t>а</w:t>
      </w:r>
      <w:r w:rsidRPr="00E00086">
        <w:rPr>
          <w:rFonts w:ascii="Times New Roman" w:hAnsi="Times New Roman"/>
          <w:szCs w:val="24"/>
          <w:lang w:val="sr-Cyrl-RS"/>
        </w:rPr>
        <w:t xml:space="preserve">ној висини  акцизних стопа, те процена у кретању потрошње и цена одређених акцизних производа. </w:t>
      </w:r>
    </w:p>
    <w:p w14:paraId="7FE2FED5" w14:textId="0DF394B8" w:rsidR="00013BBC" w:rsidRPr="00E00086" w:rsidRDefault="00013BBC" w:rsidP="00013BBC">
      <w:pPr>
        <w:tabs>
          <w:tab w:val="left" w:pos="1440"/>
        </w:tabs>
        <w:spacing w:after="120"/>
        <w:ind w:firstLine="720"/>
        <w:rPr>
          <w:rFonts w:ascii="Times New Roman" w:hAnsi="Times New Roman"/>
          <w:szCs w:val="24"/>
          <w:lang w:val="sr-Cyrl-RS"/>
        </w:rPr>
      </w:pPr>
      <w:r w:rsidRPr="00E00086">
        <w:rPr>
          <w:rFonts w:ascii="Times New Roman" w:hAnsi="Times New Roman"/>
          <w:szCs w:val="24"/>
          <w:lang w:val="sr-Cyrl-RS"/>
        </w:rPr>
        <w:lastRenderedPageBreak/>
        <w:t xml:space="preserve">Планирани приходи од акцизе на нафтне деривате у 2025. години већи су за 4,2% у односу на 2024. годину. За разлику од претходне две године, када су акцизном политиком смиривани инфлаторни притисци, у 2024. години она je враћена у редовне токове. Промет нафтних деривата током 2025. године је стабилизован, па је текућа потрошња добра основа за планирање прихода од акциза у наредном периоду. За буџетску 2025. годину пројекција прихода од акциза на деривате нафте претпоставља непромењен обим потрошње у односу на текућу годину и износе акциза које ће, у складу са важећом регулативом, бити на снази од почетка наредне године. При томе ће тренутни износи акциза бити увећани за стопу остварене инфлацију у 2024. години. У 2025. години наставља се примена механизма рефакције акцизе на гориво које се користи у пољопривредне сврхе, а врши се и измена начина рефакције акцизе за транспортне сврхе у међународном саобраћају. </w:t>
      </w:r>
    </w:p>
    <w:p w14:paraId="42572C30" w14:textId="77777777" w:rsidR="00013BBC" w:rsidRPr="00E00086" w:rsidRDefault="00013BBC" w:rsidP="00013BBC">
      <w:pPr>
        <w:tabs>
          <w:tab w:val="left" w:pos="1440"/>
        </w:tabs>
        <w:spacing w:after="120"/>
        <w:ind w:firstLine="720"/>
        <w:rPr>
          <w:rFonts w:ascii="Times New Roman" w:hAnsi="Times New Roman"/>
          <w:szCs w:val="24"/>
          <w:lang w:val="sr-Cyrl-RS"/>
        </w:rPr>
      </w:pPr>
      <w:r w:rsidRPr="00E00086">
        <w:rPr>
          <w:rFonts w:ascii="Times New Roman" w:hAnsi="Times New Roman"/>
          <w:szCs w:val="24"/>
          <w:lang w:val="sr-Cyrl-RS"/>
        </w:rPr>
        <w:t xml:space="preserve">Код акциза на дуванске прерађевине законски је одређена динамика подизања специфичних акцизних стопа. Важећом регулативом задржана је динамика повећања специфичних акциза по паклици у висини од 1,5 динар, у полугодишњој динамици, с тим што се законски износи увећавају за остварену стопу инфлације из 2024. године изнад 2%. Пад потрошње дуванских производа присутан је већ дужи низ година, међутим у већем делу 2024. године он је изостао. За 2025. годину планиран је умерен пад потрошње од 2%. </w:t>
      </w:r>
    </w:p>
    <w:p w14:paraId="2546FC30" w14:textId="77777777" w:rsidR="00013BBC" w:rsidRPr="00E00086" w:rsidRDefault="00013BBC" w:rsidP="00013BBC">
      <w:pPr>
        <w:tabs>
          <w:tab w:val="left" w:pos="1440"/>
        </w:tabs>
        <w:spacing w:after="120"/>
        <w:ind w:firstLine="720"/>
        <w:rPr>
          <w:rFonts w:ascii="Times New Roman" w:hAnsi="Times New Roman"/>
          <w:szCs w:val="24"/>
          <w:lang w:val="sr-Cyrl-RS"/>
        </w:rPr>
      </w:pPr>
      <w:r w:rsidRPr="00E00086">
        <w:rPr>
          <w:rFonts w:ascii="Times New Roman" w:hAnsi="Times New Roman"/>
          <w:szCs w:val="24"/>
          <w:lang w:val="sr-Cyrl-RS"/>
        </w:rPr>
        <w:t xml:space="preserve">Приходи од акциза на алкохолна пића, кафу и електричну енергију (остале акцизе) пројектовани су у складу са постојећом структуром и нивоом потрошње ових производа, очекиваним ценама као и очекиваним редовним усклађивањем акцизних стопа. Током 2015. године уведена је </w:t>
      </w:r>
      <w:r w:rsidRPr="00E00086">
        <w:rPr>
          <w:rFonts w:ascii="Times New Roman" w:hAnsi="Times New Roman"/>
          <w:i/>
          <w:szCs w:val="24"/>
          <w:lang w:val="sr-Cyrl-RS"/>
        </w:rPr>
        <w:t>ад валорем</w:t>
      </w:r>
      <w:r w:rsidRPr="00E00086">
        <w:rPr>
          <w:rFonts w:ascii="Times New Roman" w:hAnsi="Times New Roman"/>
          <w:szCs w:val="24"/>
          <w:lang w:val="sr-Cyrl-RS"/>
        </w:rPr>
        <w:t xml:space="preserve"> акциза од 7,5% на вредносно изражену потрошњу електричне енергије, док се за остале производе из ове групације акциза обрачунава на количински изражену потрошњу тзв. специфична акциза. </w:t>
      </w:r>
    </w:p>
    <w:p w14:paraId="2F45939B" w14:textId="77777777" w:rsidR="00013BBC" w:rsidRPr="00E00086" w:rsidRDefault="00013BBC" w:rsidP="00013BBC">
      <w:pPr>
        <w:tabs>
          <w:tab w:val="left" w:pos="1440"/>
        </w:tabs>
        <w:spacing w:after="120"/>
        <w:ind w:firstLine="720"/>
        <w:rPr>
          <w:rFonts w:ascii="Times New Roman" w:hAnsi="Times New Roman"/>
          <w:szCs w:val="24"/>
          <w:lang w:val="sr-Cyrl-RS"/>
        </w:rPr>
      </w:pPr>
      <w:r w:rsidRPr="00E00086">
        <w:rPr>
          <w:rFonts w:ascii="Times New Roman" w:hAnsi="Times New Roman"/>
          <w:b/>
          <w:szCs w:val="24"/>
          <w:lang w:val="sr-Cyrl-RS"/>
        </w:rPr>
        <w:t>Приходи од царина</w:t>
      </w:r>
      <w:r w:rsidRPr="00E00086">
        <w:rPr>
          <w:rFonts w:ascii="Times New Roman" w:hAnsi="Times New Roman"/>
          <w:szCs w:val="24"/>
          <w:lang w:val="sr-Cyrl-RS"/>
        </w:rPr>
        <w:t xml:space="preserve"> у 2025. години пројектовани су у износу од 95,3 млрд што представља раст од 8,3% у односу на 2024. годину. Главне детерминанте за пројекцију прихода од царина су кретање увоза, промене у структури увоза и девизни курс. У наредном периоду очекивани су снажнији ефекти примене споразума о слободној трговини са Кином као и усвајање сличних споразума са другим земљама, који могу утицати на динамику кретања наплате царинских дажбина.</w:t>
      </w:r>
    </w:p>
    <w:p w14:paraId="1B3C76CE" w14:textId="77777777" w:rsidR="00013BBC" w:rsidRPr="00E00086" w:rsidRDefault="00013BBC" w:rsidP="00013BBC">
      <w:pPr>
        <w:tabs>
          <w:tab w:val="left" w:pos="1440"/>
        </w:tabs>
        <w:spacing w:after="120"/>
        <w:ind w:firstLine="720"/>
        <w:rPr>
          <w:rFonts w:ascii="Times New Roman" w:hAnsi="Times New Roman"/>
          <w:szCs w:val="24"/>
          <w:lang w:val="sr-Cyrl-RS"/>
        </w:rPr>
      </w:pPr>
      <w:r w:rsidRPr="00E00086">
        <w:rPr>
          <w:rFonts w:ascii="Times New Roman" w:hAnsi="Times New Roman"/>
          <w:b/>
          <w:szCs w:val="24"/>
          <w:lang w:val="sr-Cyrl-RS"/>
        </w:rPr>
        <w:t>Остали порески приходи</w:t>
      </w:r>
      <w:r w:rsidRPr="00E00086">
        <w:rPr>
          <w:rFonts w:ascii="Times New Roman" w:hAnsi="Times New Roman"/>
          <w:szCs w:val="24"/>
          <w:lang w:val="sr-Cyrl-RS"/>
        </w:rPr>
        <w:t xml:space="preserve"> у 2025. години пројектовани су у износу 16,6 млрд динара што је више за 0,6 млрд динара у односу на претходну годину. Ову групу чине порези на употребу, држање и ношење </w:t>
      </w:r>
      <w:r w:rsidRPr="00E00086">
        <w:rPr>
          <w:rFonts w:ascii="Times New Roman" w:hAnsi="Times New Roman"/>
          <w:color w:val="000000" w:themeColor="text1"/>
          <w:szCs w:val="24"/>
          <w:lang w:val="sr-Cyrl-RS"/>
        </w:rPr>
        <w:t xml:space="preserve">добара и чине 0,7% укупних </w:t>
      </w:r>
      <w:r w:rsidRPr="00E00086">
        <w:rPr>
          <w:rFonts w:ascii="Times New Roman" w:hAnsi="Times New Roman"/>
          <w:szCs w:val="24"/>
          <w:lang w:val="sr-Cyrl-RS"/>
        </w:rPr>
        <w:t xml:space="preserve">прихода. Ови приходи су релативно стабилни и кретање економске активности не утиче пресудно на њихову наплату. У републичком буџету највећи део овог прихода чини порез на регистрацију возила. </w:t>
      </w:r>
    </w:p>
    <w:p w14:paraId="79A679F9" w14:textId="77777777" w:rsidR="00013BBC" w:rsidRPr="00E00086" w:rsidRDefault="00013BBC" w:rsidP="00013BBC">
      <w:pPr>
        <w:tabs>
          <w:tab w:val="left" w:pos="709"/>
        </w:tabs>
        <w:spacing w:after="120"/>
        <w:ind w:firstLine="720"/>
        <w:rPr>
          <w:rFonts w:ascii="Times New Roman" w:hAnsi="Times New Roman"/>
          <w:szCs w:val="24"/>
          <w:lang w:val="sr-Cyrl-RS"/>
        </w:rPr>
      </w:pPr>
      <w:r w:rsidRPr="00E00086">
        <w:rPr>
          <w:rFonts w:ascii="Times New Roman" w:hAnsi="Times New Roman"/>
          <w:b/>
          <w:szCs w:val="24"/>
          <w:lang w:val="sr-Cyrl-RS"/>
        </w:rPr>
        <w:t>Непорески приходи</w:t>
      </w:r>
      <w:r w:rsidRPr="00E00086">
        <w:rPr>
          <w:rFonts w:ascii="Times New Roman" w:hAnsi="Times New Roman"/>
          <w:szCs w:val="24"/>
          <w:lang w:val="sr-Cyrl-RS"/>
        </w:rPr>
        <w:t xml:space="preserve"> процењени су у износу од 325,7 млрд динара, </w:t>
      </w:r>
      <w:r w:rsidRPr="00E00086">
        <w:rPr>
          <w:rFonts w:ascii="Times New Roman" w:hAnsi="Times New Roman"/>
          <w:color w:val="000000" w:themeColor="text1"/>
          <w:szCs w:val="24"/>
          <w:lang w:val="sr-Cyrl-RS"/>
        </w:rPr>
        <w:t xml:space="preserve">што представља повећање од 18,4% у односу на процењени износ за 2024. годину. Учешће ове категорије у укупним приходима, у 2025. години, расте и износи 13,9%. </w:t>
      </w:r>
      <w:r w:rsidRPr="00E00086">
        <w:rPr>
          <w:rFonts w:ascii="Times New Roman" w:hAnsi="Times New Roman"/>
          <w:szCs w:val="24"/>
          <w:lang w:val="sr-Cyrl-RS"/>
        </w:rPr>
        <w:t xml:space="preserve">Непорески приходи су хетерогена категорија прихода. Поједини непорески приходи индексирају се оствареном инфлацијом у претходној години, остали прате промену у вредности основе на коју се примењују и услед тога се коригују пројектованом инфлацијом, док део чине једнократне уплате у буџет (ванредни непорески приходи), итд. Редовни непорески приходи су различите таксе, накнаде, казне, приходи органа и организација и сви остали приходи који се остварују устаљеном динамиком током године, у приближно сличним износима на месечном нивоу, уз одређене сезонске варијације. Ванредне непореске приходе чине уплате добити јавних предузећа и агенција, дивиденде буџета, приходи по основу наплаћених потраживања Агенције за осигурање депозита, емисионе премије, итд. </w:t>
      </w:r>
    </w:p>
    <w:p w14:paraId="02A24E0E" w14:textId="284D6AB0" w:rsidR="00013BBC" w:rsidRPr="00E00086" w:rsidRDefault="00013BBC" w:rsidP="00013BBC">
      <w:pPr>
        <w:tabs>
          <w:tab w:val="left" w:pos="709"/>
        </w:tabs>
        <w:spacing w:after="120"/>
        <w:ind w:firstLine="720"/>
        <w:rPr>
          <w:rFonts w:ascii="Times New Roman" w:hAnsi="Times New Roman"/>
          <w:szCs w:val="24"/>
          <w:lang w:val="sr-Cyrl-RS"/>
        </w:rPr>
      </w:pPr>
      <w:r w:rsidRPr="00E00086">
        <w:rPr>
          <w:rFonts w:ascii="Times New Roman" w:hAnsi="Times New Roman"/>
          <w:szCs w:val="24"/>
          <w:lang w:val="sr-Cyrl-RS"/>
        </w:rPr>
        <w:lastRenderedPageBreak/>
        <w:t xml:space="preserve">Редовни непорески приходи у 2025. години, према пројекцији </w:t>
      </w:r>
      <w:r w:rsidRPr="00E00086">
        <w:rPr>
          <w:rFonts w:ascii="Times New Roman" w:hAnsi="Times New Roman"/>
          <w:color w:val="000000" w:themeColor="text1"/>
          <w:szCs w:val="24"/>
          <w:lang w:val="sr-Cyrl-RS"/>
        </w:rPr>
        <w:t xml:space="preserve">износе 300,2 </w:t>
      </w:r>
      <w:r w:rsidRPr="00E00086">
        <w:rPr>
          <w:rFonts w:ascii="Times New Roman" w:hAnsi="Times New Roman"/>
          <w:szCs w:val="24"/>
          <w:lang w:val="sr-Cyrl-RS"/>
        </w:rPr>
        <w:t>млрд динара</w:t>
      </w:r>
      <w:r w:rsidRPr="00E00086">
        <w:rPr>
          <w:rStyle w:val="FootnoteReference"/>
          <w:rFonts w:ascii="Times New Roman" w:hAnsi="Times New Roman"/>
          <w:szCs w:val="24"/>
          <w:lang w:val="sr-Cyrl-RS"/>
        </w:rPr>
        <w:footnoteReference w:id="1"/>
      </w:r>
      <w:r w:rsidRPr="00E00086">
        <w:rPr>
          <w:rFonts w:ascii="Times New Roman" w:hAnsi="Times New Roman"/>
          <w:szCs w:val="24"/>
          <w:lang w:val="sr-Cyrl-RS"/>
        </w:rPr>
        <w:t xml:space="preserve"> и зна</w:t>
      </w:r>
      <w:r w:rsidR="00606E9F">
        <w:rPr>
          <w:rFonts w:ascii="Times New Roman" w:hAnsi="Times New Roman"/>
          <w:szCs w:val="24"/>
          <w:lang w:val="sr-Cyrl-RS"/>
        </w:rPr>
        <w:t>ч</w:t>
      </w:r>
      <w:r w:rsidRPr="00E00086">
        <w:rPr>
          <w:rFonts w:ascii="Times New Roman" w:hAnsi="Times New Roman"/>
          <w:szCs w:val="24"/>
          <w:lang w:val="sr-Cyrl-RS"/>
        </w:rPr>
        <w:t xml:space="preserve">ајно су већи у односу на очекиван износ у 2024. години, првенствено због планиране уплате од стране телекомуникационих оператера по основу дозвола за коришћење 5Г мреже. При пројекцији за 2025. годину поједине категорије ових прихода индексиране су инфлацијом. Од 2015. године у оквиру ове групе непореских прихода налази се накнада за обавезне резерве нафте, која се плаћа по литру нафтних деривата, а усклађује се по истом принципу као и висина акцизе на нафтне деривате. У оквиру ове групе приказани су и приходи од продаје нефинансијске имовине. </w:t>
      </w:r>
    </w:p>
    <w:p w14:paraId="279927A9" w14:textId="77777777" w:rsidR="00013BBC" w:rsidRPr="00E00086" w:rsidRDefault="00013BBC" w:rsidP="00013BBC">
      <w:pPr>
        <w:tabs>
          <w:tab w:val="left" w:pos="709"/>
        </w:tabs>
        <w:spacing w:after="120"/>
        <w:ind w:firstLine="720"/>
        <w:rPr>
          <w:rFonts w:ascii="Times New Roman" w:hAnsi="Times New Roman"/>
          <w:szCs w:val="24"/>
          <w:lang w:val="sr-Cyrl-RS"/>
        </w:rPr>
      </w:pPr>
      <w:r w:rsidRPr="00E00086">
        <w:rPr>
          <w:rFonts w:ascii="Times New Roman" w:hAnsi="Times New Roman"/>
          <w:szCs w:val="24"/>
          <w:lang w:val="sr-Cyrl-RS"/>
        </w:rPr>
        <w:t>Ванредни непорески приходи у 2025. години мањи су у односу на очекивани износ у 2024. години. Код процене ове групе прихода начелно се полази се од њиховог структурног нивоа (дивиденде и уплата добити јавних предузећа и агенција) и најаве појединачних уплата. У 2025. години предвиђено је 25,5 млрд динара ванредних непореских прихода, од чега 14,5 млрд динара по основу добити и дивиденди. Овај принцип не прејудицира да до већих уплата по овом основу неће доћи, нити ограничава могуће уплате од стране субјеката који ту обавезу имају.</w:t>
      </w:r>
    </w:p>
    <w:p w14:paraId="39933731" w14:textId="77777777" w:rsidR="00013BBC" w:rsidRPr="00E00086" w:rsidRDefault="00013BBC" w:rsidP="00013BBC">
      <w:pPr>
        <w:tabs>
          <w:tab w:val="left" w:pos="709"/>
        </w:tabs>
        <w:spacing w:after="120"/>
        <w:ind w:firstLine="720"/>
        <w:rPr>
          <w:rFonts w:ascii="Times New Roman" w:hAnsi="Times New Roman"/>
          <w:szCs w:val="24"/>
          <w:lang w:val="sr-Cyrl-RS"/>
        </w:rPr>
      </w:pPr>
      <w:r w:rsidRPr="00E00086">
        <w:rPr>
          <w:rFonts w:ascii="Times New Roman" w:hAnsi="Times New Roman"/>
          <w:szCs w:val="24"/>
          <w:lang w:val="sr-Cyrl-RS"/>
        </w:rPr>
        <w:t>Сопствени приходи индиректних буџетских корисника од 2025. године, неће бити посебно приказивани јер су укључивањем свих индиректних корисника буџета, постали саставни део редовних непореских прихода.</w:t>
      </w:r>
    </w:p>
    <w:p w14:paraId="5FB93781" w14:textId="768461A8" w:rsidR="00013BBC" w:rsidRPr="00E00086" w:rsidRDefault="00013BBC" w:rsidP="00013BBC">
      <w:pPr>
        <w:tabs>
          <w:tab w:val="left" w:pos="709"/>
        </w:tabs>
        <w:spacing w:after="120"/>
        <w:rPr>
          <w:rFonts w:ascii="Times New Roman" w:hAnsi="Times New Roman"/>
          <w:szCs w:val="24"/>
          <w:lang w:val="sr-Cyrl-RS"/>
        </w:rPr>
      </w:pPr>
      <w:r w:rsidRPr="00E00086">
        <w:rPr>
          <w:rFonts w:ascii="Times New Roman" w:hAnsi="Times New Roman"/>
          <w:szCs w:val="24"/>
          <w:lang w:val="sr-Cyrl-RS"/>
        </w:rPr>
        <w:tab/>
        <w:t>Очекиван</w:t>
      </w:r>
      <w:r w:rsidR="006642AE">
        <w:rPr>
          <w:rFonts w:ascii="Times New Roman" w:hAnsi="Times New Roman"/>
          <w:szCs w:val="24"/>
          <w:lang w:val="sr-Cyrl-RS"/>
        </w:rPr>
        <w:t>и</w:t>
      </w:r>
      <w:r w:rsidRPr="00E00086">
        <w:rPr>
          <w:rFonts w:ascii="Times New Roman" w:hAnsi="Times New Roman"/>
          <w:szCs w:val="24"/>
          <w:lang w:val="sr-Cyrl-RS"/>
        </w:rPr>
        <w:t xml:space="preserve"> износ </w:t>
      </w:r>
      <w:r w:rsidRPr="00E00086">
        <w:rPr>
          <w:rFonts w:ascii="Times New Roman" w:hAnsi="Times New Roman"/>
          <w:b/>
          <w:szCs w:val="24"/>
          <w:lang w:val="sr-Cyrl-RS"/>
        </w:rPr>
        <w:t>донација</w:t>
      </w:r>
      <w:r w:rsidRPr="00E00086">
        <w:rPr>
          <w:rFonts w:ascii="Times New Roman" w:hAnsi="Times New Roman"/>
          <w:szCs w:val="24"/>
          <w:lang w:val="sr-Cyrl-RS"/>
        </w:rPr>
        <w:t xml:space="preserve"> износи 35,4 млрд динара и у односу на 2024. годину је повећан, а пројектован је у складу са плановима буџетских корисника. Учешће овог облика прихода у укупним приходима буџета за 2025. годину износи 1,5%. </w:t>
      </w:r>
    </w:p>
    <w:p w14:paraId="5F932E7F" w14:textId="77777777" w:rsidR="00013BBC" w:rsidRPr="00E00086" w:rsidRDefault="00013BBC" w:rsidP="00013BBC">
      <w:pPr>
        <w:tabs>
          <w:tab w:val="left" w:pos="709"/>
        </w:tabs>
        <w:spacing w:after="120" w:line="276" w:lineRule="auto"/>
        <w:rPr>
          <w:rFonts w:ascii="Times New Roman" w:hAnsi="Times New Roman"/>
          <w:lang w:val="sr-Cyrl-RS"/>
        </w:rPr>
      </w:pPr>
      <w:r w:rsidRPr="00E00086">
        <w:rPr>
          <w:noProof/>
          <w:lang w:val="sr-Cyrl-RS"/>
        </w:rPr>
        <w:drawing>
          <wp:inline distT="0" distB="0" distL="0" distR="0" wp14:anchorId="661A04BA" wp14:editId="0F3430A2">
            <wp:extent cx="5731510" cy="3496310"/>
            <wp:effectExtent l="0" t="0" r="2540" b="8890"/>
            <wp:docPr id="142974539" name="Chart 14297453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6BA7CA" w14:textId="77777777" w:rsidR="00013BBC" w:rsidRPr="00E00086" w:rsidRDefault="00013BBC" w:rsidP="00013BBC">
      <w:pPr>
        <w:tabs>
          <w:tab w:val="left" w:pos="709"/>
        </w:tabs>
        <w:spacing w:after="120" w:line="276" w:lineRule="auto"/>
        <w:rPr>
          <w:rFonts w:ascii="Times New Roman" w:hAnsi="Times New Roman"/>
          <w:lang w:val="sr-Cyrl-RS"/>
        </w:rPr>
      </w:pPr>
    </w:p>
    <w:p w14:paraId="3910A835" w14:textId="77777777" w:rsidR="00013BBC" w:rsidRPr="00E00086" w:rsidRDefault="00013BBC" w:rsidP="00013BBC">
      <w:pPr>
        <w:tabs>
          <w:tab w:val="left" w:pos="709"/>
        </w:tabs>
        <w:spacing w:after="120" w:line="276" w:lineRule="auto"/>
        <w:rPr>
          <w:rFonts w:ascii="Times New Roman" w:hAnsi="Times New Roman"/>
          <w:lang w:val="sr-Cyrl-RS"/>
        </w:rPr>
      </w:pPr>
      <w:r w:rsidRPr="00E00086">
        <w:rPr>
          <w:noProof/>
          <w:lang w:val="sr-Cyrl-RS"/>
        </w:rPr>
        <w:lastRenderedPageBreak/>
        <w:drawing>
          <wp:inline distT="0" distB="0" distL="0" distR="0" wp14:anchorId="603A8141" wp14:editId="07991E99">
            <wp:extent cx="5731510" cy="3239589"/>
            <wp:effectExtent l="0" t="0" r="2540" b="18415"/>
            <wp:docPr id="2" name="Chart 2">
              <a:extLst xmlns:a="http://schemas.openxmlformats.org/drawingml/2006/main">
                <a:ext uri="{FF2B5EF4-FFF2-40B4-BE49-F238E27FC236}">
                  <a16:creationId xmlns:a16="http://schemas.microsoft.com/office/drawing/2014/main" id="{00000000-0008-0000-0100-000076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F69E44" w14:textId="7B790014" w:rsidR="00013BBC" w:rsidRDefault="00013BBC" w:rsidP="00423A28">
      <w:pPr>
        <w:jc w:val="center"/>
        <w:rPr>
          <w:rFonts w:ascii="Times New Roman" w:hAnsi="Times New Roman"/>
          <w:b/>
          <w:i/>
          <w:lang w:val="en-US"/>
        </w:rPr>
      </w:pPr>
      <w:r w:rsidRPr="00E00086">
        <w:rPr>
          <w:rFonts w:ascii="Times New Roman" w:hAnsi="Times New Roman"/>
          <w:b/>
          <w:i/>
          <w:lang w:val="sr-Cyrl-RS"/>
        </w:rPr>
        <w:t>Фискални резултати на нивоу опште државе у 2025. години</w:t>
      </w:r>
    </w:p>
    <w:p w14:paraId="1648163D" w14:textId="77777777" w:rsidR="00423A28" w:rsidRPr="00423A28" w:rsidRDefault="00423A28" w:rsidP="00423A28">
      <w:pPr>
        <w:jc w:val="center"/>
        <w:rPr>
          <w:rFonts w:ascii="Times New Roman" w:hAnsi="Times New Roman"/>
          <w:b/>
          <w:i/>
          <w:lang w:val="en-US"/>
        </w:rPr>
      </w:pPr>
    </w:p>
    <w:p w14:paraId="11227AA9" w14:textId="77777777" w:rsidR="00013BBC" w:rsidRPr="00E00086" w:rsidRDefault="00013BBC" w:rsidP="00013BBC">
      <w:pPr>
        <w:tabs>
          <w:tab w:val="left" w:pos="709"/>
        </w:tabs>
        <w:spacing w:after="120"/>
        <w:ind w:firstLine="720"/>
        <w:rPr>
          <w:rFonts w:ascii="Times New Roman" w:hAnsi="Times New Roman"/>
          <w:b/>
          <w:szCs w:val="24"/>
          <w:lang w:val="sr-Cyrl-RS"/>
        </w:rPr>
      </w:pPr>
      <w:r w:rsidRPr="00E00086">
        <w:rPr>
          <w:rFonts w:ascii="Times New Roman" w:hAnsi="Times New Roman"/>
          <w:b/>
          <w:szCs w:val="24"/>
          <w:lang w:val="sr-Cyrl-RS"/>
        </w:rPr>
        <w:t xml:space="preserve">Пројектовани дефицит сектора државе у 2025. години износи 3% БДП, док се јавни дуг на нивоу сектора државе смањује и до краја године задржава на нивоу од 47,5% БДП. </w:t>
      </w:r>
      <w:r w:rsidRPr="00E00086">
        <w:rPr>
          <w:rFonts w:ascii="Times New Roman" w:hAnsi="Times New Roman"/>
          <w:szCs w:val="24"/>
          <w:lang w:val="sr-Cyrl-RS"/>
        </w:rPr>
        <w:t>Средњорочни фискални оквир предвиђа одржавање дефицита сектора државе на нивоу од 3% БДП до 2027. године и пад учешћа јавног дуга на 46,5% БДП. Пројекције фискалних агрегата у периоду од 2025. до 2027. године заснивају се на пројекцијама макроекономских показатеља за наведени период, планираној пореској политици која подразумева даље усаглашавање са законима и директивама ЕУ и фискалним и структурним мерама.</w:t>
      </w:r>
    </w:p>
    <w:p w14:paraId="769F27E1" w14:textId="3AF40CA0" w:rsidR="00013BBC" w:rsidRDefault="00013BBC" w:rsidP="00D25D65">
      <w:pPr>
        <w:tabs>
          <w:tab w:val="left" w:pos="720"/>
        </w:tabs>
        <w:spacing w:after="120"/>
        <w:ind w:firstLine="720"/>
        <w:rPr>
          <w:rFonts w:ascii="Times New Roman" w:hAnsi="Times New Roman"/>
          <w:bCs/>
          <w:szCs w:val="24"/>
          <w:lang w:val="en-US"/>
        </w:rPr>
      </w:pPr>
      <w:r w:rsidRPr="00E00086">
        <w:rPr>
          <w:rFonts w:ascii="Times New Roman" w:hAnsi="Times New Roman"/>
          <w:b/>
          <w:szCs w:val="24"/>
          <w:lang w:val="sr-Cyrl-RS"/>
        </w:rPr>
        <w:t xml:space="preserve">Циљеви фискалне политике у средњем року, остају уравнотежење и стабилизација јавних финансија, како би се смањило учешће јавног дуга у БДП и створиле основе за стабилан привредни раст. </w:t>
      </w:r>
      <w:r w:rsidRPr="00E00086">
        <w:rPr>
          <w:rFonts w:ascii="Times New Roman" w:hAnsi="Times New Roman"/>
          <w:szCs w:val="24"/>
          <w:lang w:val="sr-Cyrl-RS"/>
        </w:rPr>
        <w:t xml:space="preserve">Стабилна фискална позиција уз очекивана повољна макроекономска кретања омогућавају нови инвестициони циклус оличен у програму „Скок у будућност - Србија 2027” и изложби ЕКСПО 2027. Овај програм ће бити окосница економског и друштвеног развоја државе у наредном периоду. С обзиром на предвиђена велика улагања у склопу програма и припрема за Експо привремено се очекује издашнија фискална политика, али уз опадајућу путању јавног дуга. Примарно је да ће повећање дефицита бити резултат раста капиталних издатака, што ће додатно да помогне макроекономским токовима и убрза раст економије. </w:t>
      </w:r>
      <w:r w:rsidRPr="00E00086">
        <w:rPr>
          <w:rFonts w:ascii="Times New Roman" w:hAnsi="Times New Roman"/>
          <w:bCs/>
          <w:szCs w:val="24"/>
          <w:lang w:val="sr-Cyrl-RS"/>
        </w:rPr>
        <w:t xml:space="preserve">Истовремено, потребно је обезбедити простор за правовремену реакцију фискалне политике на економске шокове. Међународно окружење је и даље неизвесно у погледу глобалних економских токова, тако да би евентуална фискална интервенција државе у циљу минимизирања негативних шокова, била комбинована са настојањима да се наставе развојни програми и инфраструктурни пројекти. </w:t>
      </w:r>
    </w:p>
    <w:p w14:paraId="70932C14" w14:textId="77777777" w:rsidR="001514B1" w:rsidRPr="001514B1" w:rsidRDefault="001514B1" w:rsidP="00D25D65">
      <w:pPr>
        <w:tabs>
          <w:tab w:val="left" w:pos="720"/>
        </w:tabs>
        <w:spacing w:after="120"/>
        <w:ind w:firstLine="720"/>
        <w:rPr>
          <w:rFonts w:ascii="Times New Roman" w:hAnsi="Times New Roman"/>
          <w:szCs w:val="24"/>
          <w:lang w:val="en-US"/>
        </w:rPr>
      </w:pPr>
    </w:p>
    <w:p w14:paraId="48ABE4D2" w14:textId="70B19519" w:rsidR="00ED3C0C" w:rsidRPr="00423A28" w:rsidRDefault="007104F0" w:rsidP="00013BBC">
      <w:pPr>
        <w:pStyle w:val="ListParagraph"/>
        <w:numPr>
          <w:ilvl w:val="0"/>
          <w:numId w:val="12"/>
        </w:numPr>
        <w:tabs>
          <w:tab w:val="left" w:pos="720"/>
        </w:tabs>
        <w:spacing w:after="120"/>
        <w:rPr>
          <w:rFonts w:ascii="Times New Roman" w:hAnsi="Times New Roman"/>
          <w:bCs/>
          <w:sz w:val="24"/>
          <w:szCs w:val="28"/>
          <w:lang w:val="sr-Cyrl-RS"/>
        </w:rPr>
      </w:pPr>
      <w:r w:rsidRPr="00423A28">
        <w:rPr>
          <w:rFonts w:ascii="Times New Roman" w:hAnsi="Times New Roman"/>
          <w:b/>
          <w:bCs/>
          <w:sz w:val="24"/>
          <w:szCs w:val="28"/>
          <w:lang w:val="sr-Cyrl-RS"/>
        </w:rPr>
        <w:t>Образложење расхода и издатака буџета</w:t>
      </w:r>
    </w:p>
    <w:p w14:paraId="0AE4D2D9" w14:textId="4A8D34A8" w:rsidR="006F7707" w:rsidRPr="00E00086" w:rsidRDefault="006F7707" w:rsidP="006F7707">
      <w:pPr>
        <w:tabs>
          <w:tab w:val="left" w:pos="709"/>
        </w:tabs>
        <w:rPr>
          <w:rFonts w:ascii="Times New Roman" w:hAnsi="Times New Roman"/>
          <w:lang w:val="sr-Cyrl-RS"/>
        </w:rPr>
      </w:pPr>
      <w:r w:rsidRPr="00E00086">
        <w:rPr>
          <w:rFonts w:ascii="Times New Roman" w:hAnsi="Times New Roman"/>
          <w:b/>
          <w:bCs/>
          <w:szCs w:val="24"/>
          <w:lang w:val="sr-Cyrl-RS"/>
        </w:rPr>
        <w:tab/>
      </w:r>
      <w:r w:rsidR="00761525" w:rsidRPr="00E00086">
        <w:rPr>
          <w:rFonts w:ascii="Times New Roman" w:hAnsi="Times New Roman"/>
          <w:szCs w:val="24"/>
          <w:lang w:val="sr-Cyrl-RS"/>
        </w:rPr>
        <w:t xml:space="preserve">Приликом планирања расхода и издатака за сваког буџетског корисника, пошло се од важеће организационе, функционалне и програмске структуре, као и надлежности корисника према Закону о министарствима </w:t>
      </w:r>
      <w:r w:rsidR="00761525" w:rsidRPr="00E00086">
        <w:rPr>
          <w:rFonts w:ascii="Times New Roman" w:hAnsi="Times New Roman"/>
          <w:lang w:val="sr-Cyrl-RS"/>
        </w:rPr>
        <w:t>(„Службени гласник РС”, бр. 128/20</w:t>
      </w:r>
      <w:r w:rsidR="005E5F02" w:rsidRPr="00E00086">
        <w:rPr>
          <w:rFonts w:ascii="Times New Roman" w:hAnsi="Times New Roman"/>
          <w:lang w:val="sr-Cyrl-RS"/>
        </w:rPr>
        <w:t xml:space="preserve">, </w:t>
      </w:r>
      <w:r w:rsidR="00761525" w:rsidRPr="00E00086">
        <w:rPr>
          <w:rFonts w:ascii="Times New Roman" w:hAnsi="Times New Roman"/>
          <w:lang w:val="sr-Cyrl-RS"/>
        </w:rPr>
        <w:t>116/22</w:t>
      </w:r>
      <w:r w:rsidR="005E5F02" w:rsidRPr="00E00086">
        <w:rPr>
          <w:rFonts w:ascii="Times New Roman" w:hAnsi="Times New Roman"/>
          <w:lang w:val="sr-Cyrl-RS"/>
        </w:rPr>
        <w:t xml:space="preserve"> и 92/23-др. закон</w:t>
      </w:r>
      <w:r w:rsidR="00761525" w:rsidRPr="00E00086">
        <w:rPr>
          <w:rFonts w:ascii="Times New Roman" w:hAnsi="Times New Roman"/>
          <w:lang w:val="sr-Cyrl-RS"/>
        </w:rPr>
        <w:t>).</w:t>
      </w:r>
    </w:p>
    <w:p w14:paraId="1F0AD568" w14:textId="1384CB8C" w:rsidR="005821B2" w:rsidRPr="00E00086" w:rsidRDefault="007104F0" w:rsidP="00CC0F16">
      <w:pPr>
        <w:tabs>
          <w:tab w:val="left" w:pos="709"/>
        </w:tabs>
        <w:rPr>
          <w:rFonts w:ascii="Times New Roman" w:hAnsi="Times New Roman"/>
          <w:szCs w:val="24"/>
          <w:lang w:val="sr-Cyrl-RS"/>
        </w:rPr>
      </w:pPr>
      <w:r w:rsidRPr="00E00086">
        <w:rPr>
          <w:rFonts w:ascii="Times New Roman" w:hAnsi="Times New Roman"/>
          <w:szCs w:val="24"/>
          <w:lang w:val="sr-Cyrl-RS"/>
        </w:rPr>
        <w:lastRenderedPageBreak/>
        <w:tab/>
        <w:t>Расходи и издаци приказани по бруто принципу обухватају поред расхода и издатака који се финансирају из општих прихода</w:t>
      </w:r>
      <w:r w:rsidR="008C33C0" w:rsidRPr="00E00086">
        <w:rPr>
          <w:rFonts w:ascii="Times New Roman" w:hAnsi="Times New Roman"/>
          <w:szCs w:val="24"/>
          <w:lang w:val="sr-Cyrl-RS"/>
        </w:rPr>
        <w:t xml:space="preserve"> и примања</w:t>
      </w:r>
      <w:r w:rsidRPr="00E00086">
        <w:rPr>
          <w:rFonts w:ascii="Times New Roman" w:hAnsi="Times New Roman"/>
          <w:szCs w:val="24"/>
          <w:lang w:val="sr-Cyrl-RS"/>
        </w:rPr>
        <w:t xml:space="preserve"> буџета и оне расходе и издатке које корисници буџетских средстава финансирају из донација, домаћих и међународних кредита, као и прихода које корисници остваре продајом добара и услуга</w:t>
      </w:r>
      <w:r w:rsidR="00540346" w:rsidRPr="00E00086">
        <w:rPr>
          <w:rFonts w:ascii="Times New Roman" w:hAnsi="Times New Roman"/>
          <w:szCs w:val="24"/>
          <w:lang w:val="sr-Cyrl-RS"/>
        </w:rPr>
        <w:t xml:space="preserve"> у складу са Законом о буџетском систему </w:t>
      </w:r>
      <w:r w:rsidR="00B2225A" w:rsidRPr="00E00086">
        <w:rPr>
          <w:rFonts w:ascii="Times New Roman" w:hAnsi="Times New Roman"/>
          <w:bCs/>
          <w:color w:val="000000"/>
          <w:szCs w:val="24"/>
          <w:lang w:val="sr-Cyrl-RS"/>
        </w:rPr>
        <w:t xml:space="preserve">(„Службени гласник РС”, бр. 54/09, 73/10, 101/10, 101/11, 93/12, 62/13, 63/13 </w:t>
      </w:r>
      <w:r w:rsidR="00E55B49" w:rsidRPr="00E00086">
        <w:rPr>
          <w:rFonts w:ascii="Times New Roman" w:hAnsi="Times New Roman"/>
          <w:bCs/>
          <w:color w:val="000000"/>
          <w:szCs w:val="24"/>
          <w:lang w:val="sr-Cyrl-RS"/>
        </w:rPr>
        <w:t>-</w:t>
      </w:r>
      <w:r w:rsidR="00B2225A" w:rsidRPr="00E00086">
        <w:rPr>
          <w:rFonts w:ascii="Times New Roman" w:hAnsi="Times New Roman"/>
          <w:bCs/>
          <w:color w:val="000000"/>
          <w:szCs w:val="24"/>
          <w:lang w:val="sr-Cyrl-RS"/>
        </w:rPr>
        <w:t xml:space="preserve"> исправка, 108/13, 142/14, 68/15 </w:t>
      </w:r>
      <w:r w:rsidR="00E55B49" w:rsidRPr="00E00086">
        <w:rPr>
          <w:rFonts w:ascii="Times New Roman" w:hAnsi="Times New Roman"/>
          <w:bCs/>
          <w:color w:val="000000"/>
          <w:szCs w:val="24"/>
          <w:lang w:val="sr-Cyrl-RS"/>
        </w:rPr>
        <w:t>-</w:t>
      </w:r>
      <w:r w:rsidR="00B2225A" w:rsidRPr="00E00086">
        <w:rPr>
          <w:rFonts w:ascii="Times New Roman" w:hAnsi="Times New Roman"/>
          <w:bCs/>
          <w:color w:val="000000"/>
          <w:szCs w:val="24"/>
          <w:lang w:val="sr-Cyrl-RS"/>
        </w:rPr>
        <w:t xml:space="preserve"> др. закон, 103/15, 99/16, 113/17, 95/18, 31/19, 72/19, 149/20, 118/21, 118/21 </w:t>
      </w:r>
      <w:r w:rsidR="00E55B49" w:rsidRPr="00E00086">
        <w:rPr>
          <w:rFonts w:ascii="Times New Roman" w:hAnsi="Times New Roman"/>
          <w:bCs/>
          <w:color w:val="000000"/>
          <w:szCs w:val="24"/>
          <w:lang w:val="sr-Cyrl-RS"/>
        </w:rPr>
        <w:t>-</w:t>
      </w:r>
      <w:r w:rsidR="00B2225A" w:rsidRPr="00E00086">
        <w:rPr>
          <w:rFonts w:ascii="Times New Roman" w:hAnsi="Times New Roman"/>
          <w:bCs/>
          <w:color w:val="000000"/>
          <w:szCs w:val="24"/>
          <w:lang w:val="sr-Cyrl-RS"/>
        </w:rPr>
        <w:t xml:space="preserve"> др. закон</w:t>
      </w:r>
      <w:r w:rsidR="00527DD4" w:rsidRPr="00E00086">
        <w:rPr>
          <w:rFonts w:ascii="Times New Roman" w:hAnsi="Times New Roman"/>
          <w:bCs/>
          <w:color w:val="000000"/>
          <w:szCs w:val="24"/>
          <w:lang w:val="sr-Cyrl-RS"/>
        </w:rPr>
        <w:t xml:space="preserve">, </w:t>
      </w:r>
      <w:r w:rsidR="00B2225A" w:rsidRPr="00E00086">
        <w:rPr>
          <w:rFonts w:ascii="Times New Roman" w:hAnsi="Times New Roman"/>
          <w:bCs/>
          <w:color w:val="000000"/>
          <w:szCs w:val="24"/>
          <w:lang w:val="sr-Cyrl-RS"/>
        </w:rPr>
        <w:t>138/22</w:t>
      </w:r>
      <w:r w:rsidR="00527DD4" w:rsidRPr="00E00086">
        <w:rPr>
          <w:rFonts w:ascii="Times New Roman" w:hAnsi="Times New Roman"/>
          <w:bCs/>
          <w:color w:val="000000"/>
          <w:szCs w:val="24"/>
          <w:lang w:val="sr-Cyrl-RS"/>
        </w:rPr>
        <w:t xml:space="preserve"> и 92/23</w:t>
      </w:r>
      <w:r w:rsidR="00B2225A" w:rsidRPr="00E00086">
        <w:rPr>
          <w:rFonts w:ascii="Times New Roman" w:hAnsi="Times New Roman"/>
          <w:bCs/>
          <w:color w:val="000000"/>
          <w:szCs w:val="24"/>
          <w:lang w:val="sr-Cyrl-RS"/>
        </w:rPr>
        <w:t>)</w:t>
      </w:r>
      <w:r w:rsidR="00B2225A" w:rsidRPr="00E00086">
        <w:rPr>
          <w:rFonts w:ascii="Times New Roman" w:hAnsi="Times New Roman"/>
          <w:szCs w:val="24"/>
          <w:lang w:val="sr-Cyrl-RS"/>
        </w:rPr>
        <w:t xml:space="preserve"> </w:t>
      </w:r>
      <w:r w:rsidR="00A11FD8" w:rsidRPr="00E00086">
        <w:rPr>
          <w:rFonts w:ascii="Times New Roman" w:hAnsi="Times New Roman"/>
          <w:szCs w:val="24"/>
          <w:lang w:val="sr-Cyrl-RS"/>
        </w:rPr>
        <w:t>и других извора финансирања.</w:t>
      </w:r>
    </w:p>
    <w:p w14:paraId="045AFD8E" w14:textId="4EC381C4" w:rsidR="0039795D" w:rsidRPr="00E00086" w:rsidRDefault="00896DA8" w:rsidP="00CC0F16">
      <w:pPr>
        <w:tabs>
          <w:tab w:val="left" w:pos="709"/>
        </w:tabs>
        <w:rPr>
          <w:rFonts w:ascii="Times New Roman" w:eastAsia="Calibri" w:hAnsi="Times New Roman"/>
          <w:bCs/>
          <w:lang w:val="sr-Cyrl-RS"/>
        </w:rPr>
      </w:pPr>
      <w:r w:rsidRPr="00E00086">
        <w:rPr>
          <w:rFonts w:ascii="Times New Roman" w:hAnsi="Times New Roman"/>
          <w:lang w:val="sr-Cyrl-RS"/>
        </w:rPr>
        <w:tab/>
        <w:t>У буџету Републике Србије за 202</w:t>
      </w:r>
      <w:r w:rsidR="00527DD4" w:rsidRPr="00E00086">
        <w:rPr>
          <w:rFonts w:ascii="Times New Roman" w:hAnsi="Times New Roman"/>
          <w:lang w:val="sr-Cyrl-RS"/>
        </w:rPr>
        <w:t>5</w:t>
      </w:r>
      <w:r w:rsidRPr="00E00086">
        <w:rPr>
          <w:rFonts w:ascii="Times New Roman" w:hAnsi="Times New Roman"/>
          <w:lang w:val="sr-Cyrl-RS"/>
        </w:rPr>
        <w:t>. годину, планирана су средства између осталог</w:t>
      </w:r>
      <w:r w:rsidR="005821B2" w:rsidRPr="00E00086">
        <w:rPr>
          <w:rFonts w:ascii="Times New Roman" w:hAnsi="Times New Roman"/>
          <w:lang w:val="sr-Cyrl-RS"/>
        </w:rPr>
        <w:t xml:space="preserve"> и</w:t>
      </w:r>
      <w:r w:rsidRPr="00E00086">
        <w:rPr>
          <w:rFonts w:ascii="Times New Roman" w:hAnsi="Times New Roman"/>
          <w:lang w:val="sr-Cyrl-RS"/>
        </w:rPr>
        <w:t xml:space="preserve"> за повећање плата и пензија,</w:t>
      </w:r>
      <w:r w:rsidR="005821B2" w:rsidRPr="00E00086">
        <w:rPr>
          <w:rFonts w:ascii="Times New Roman" w:hAnsi="Times New Roman"/>
          <w:lang w:val="sr-Cyrl-RS"/>
        </w:rPr>
        <w:t xml:space="preserve"> </w:t>
      </w:r>
      <w:r w:rsidRPr="00E00086">
        <w:rPr>
          <w:rFonts w:ascii="Times New Roman" w:hAnsi="Times New Roman"/>
          <w:lang w:val="sr-Cyrl-RS"/>
        </w:rPr>
        <w:t>изградњу највећих инфраструктурних пројеката</w:t>
      </w:r>
      <w:r w:rsidR="000C0DBE">
        <w:rPr>
          <w:rFonts w:ascii="Times New Roman" w:hAnsi="Times New Roman"/>
          <w:lang w:val="sr-Cyrl-RS"/>
        </w:rPr>
        <w:t xml:space="preserve"> </w:t>
      </w:r>
      <w:r w:rsidR="00636D77" w:rsidRPr="00E00086">
        <w:rPr>
          <w:rFonts w:ascii="Times New Roman" w:eastAsia="Calibri" w:hAnsi="Times New Roman"/>
          <w:bCs/>
          <w:lang w:val="sr-Cyrl-RS"/>
        </w:rPr>
        <w:t xml:space="preserve">и </w:t>
      </w:r>
      <w:r w:rsidR="003E7D5C" w:rsidRPr="00E00086">
        <w:rPr>
          <w:rFonts w:ascii="Times New Roman" w:hAnsi="Times New Roman"/>
          <w:lang w:val="sr-Cyrl-RS"/>
        </w:rPr>
        <w:t>остале расходе и издатке у складу са надлежности</w:t>
      </w:r>
      <w:r w:rsidR="005D130C" w:rsidRPr="00E00086">
        <w:rPr>
          <w:rFonts w:ascii="Times New Roman" w:hAnsi="Times New Roman"/>
          <w:lang w:val="sr-Cyrl-RS"/>
        </w:rPr>
        <w:t>ма</w:t>
      </w:r>
      <w:r w:rsidR="003E7D5C" w:rsidRPr="00E00086">
        <w:rPr>
          <w:rFonts w:ascii="Times New Roman" w:hAnsi="Times New Roman"/>
          <w:lang w:val="sr-Cyrl-RS"/>
        </w:rPr>
        <w:t xml:space="preserve"> буџетских корисника</w:t>
      </w:r>
      <w:r w:rsidR="007F13AC" w:rsidRPr="00E00086">
        <w:rPr>
          <w:rFonts w:ascii="Times New Roman" w:hAnsi="Times New Roman"/>
          <w:lang w:val="sr-Cyrl-RS"/>
        </w:rPr>
        <w:t>.</w:t>
      </w:r>
    </w:p>
    <w:p w14:paraId="445DE5DE" w14:textId="77777777" w:rsidR="005D130C" w:rsidRPr="00E00086" w:rsidRDefault="005D130C" w:rsidP="00CC0F16">
      <w:pPr>
        <w:tabs>
          <w:tab w:val="left" w:pos="709"/>
        </w:tabs>
        <w:rPr>
          <w:rFonts w:ascii="Times New Roman" w:hAnsi="Times New Roman"/>
          <w:lang w:val="sr-Cyrl-RS"/>
        </w:rPr>
      </w:pPr>
    </w:p>
    <w:p w14:paraId="049AE9A1" w14:textId="7167776A" w:rsidR="00593327" w:rsidRPr="00E00086" w:rsidRDefault="00D46F44" w:rsidP="00CC0F16">
      <w:pPr>
        <w:tabs>
          <w:tab w:val="left" w:pos="709"/>
        </w:tabs>
        <w:rPr>
          <w:rFonts w:ascii="Times New Roman" w:hAnsi="Times New Roman"/>
          <w:b/>
          <w:lang w:val="sr-Cyrl-RS"/>
        </w:rPr>
      </w:pPr>
      <w:r w:rsidRPr="00E00086">
        <w:rPr>
          <w:rFonts w:ascii="Times New Roman" w:hAnsi="Times New Roman"/>
          <w:b/>
          <w:lang w:val="sr-Cyrl-RS"/>
        </w:rPr>
        <w:t>Расходи и издаци буџета Републике Србије за 202</w:t>
      </w:r>
      <w:r w:rsidR="00527DD4" w:rsidRPr="00E00086">
        <w:rPr>
          <w:rFonts w:ascii="Times New Roman" w:hAnsi="Times New Roman"/>
          <w:b/>
          <w:lang w:val="sr-Cyrl-RS"/>
        </w:rPr>
        <w:t>5</w:t>
      </w:r>
      <w:r w:rsidRPr="00E00086">
        <w:rPr>
          <w:rFonts w:ascii="Times New Roman" w:hAnsi="Times New Roman"/>
          <w:b/>
          <w:lang w:val="sr-Cyrl-RS"/>
        </w:rPr>
        <w:t>. годину</w:t>
      </w:r>
    </w:p>
    <w:p w14:paraId="397A84B1" w14:textId="77777777" w:rsidR="009A129D" w:rsidRDefault="009A129D" w:rsidP="002201E2">
      <w:pPr>
        <w:tabs>
          <w:tab w:val="left" w:pos="720"/>
        </w:tabs>
        <w:spacing w:after="120"/>
        <w:rPr>
          <w:rFonts w:ascii="Times New Roman" w:hAnsi="Times New Roman"/>
          <w:szCs w:val="24"/>
          <w:lang w:val="sr-Latn-RS"/>
        </w:rPr>
      </w:pPr>
    </w:p>
    <w:tbl>
      <w:tblPr>
        <w:tblW w:w="0" w:type="auto"/>
        <w:tblLayout w:type="fixed"/>
        <w:tblCellMar>
          <w:left w:w="0" w:type="dxa"/>
          <w:right w:w="0" w:type="dxa"/>
        </w:tblCellMar>
        <w:tblLook w:val="0000" w:firstRow="0" w:lastRow="0" w:firstColumn="0" w:lastColumn="0" w:noHBand="0" w:noVBand="0"/>
      </w:tblPr>
      <w:tblGrid>
        <w:gridCol w:w="5660"/>
        <w:gridCol w:w="1620"/>
        <w:gridCol w:w="1927"/>
      </w:tblGrid>
      <w:tr w:rsidR="0090200A" w:rsidRPr="000C0BCB" w14:paraId="003E0090" w14:textId="77777777" w:rsidTr="00150DF6">
        <w:trPr>
          <w:trHeight w:val="280"/>
          <w:tblHead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40F1CD" w14:textId="77777777" w:rsidR="0090200A" w:rsidRPr="000C0BCB" w:rsidRDefault="0090200A" w:rsidP="00150DF6">
            <w:pPr>
              <w:jc w:val="center"/>
              <w:rPr>
                <w:noProof/>
                <w:lang w:val="sr-Cyrl-RS"/>
              </w:rPr>
            </w:pPr>
            <w:r w:rsidRPr="000C0BCB">
              <w:rPr>
                <w:noProof/>
                <w:color w:val="000000"/>
                <w:lang w:val="sr-Cyrl-RS"/>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893AD0" w14:textId="77777777" w:rsidR="0090200A" w:rsidRPr="000C0BCB" w:rsidRDefault="0090200A" w:rsidP="00150DF6">
            <w:pPr>
              <w:jc w:val="center"/>
              <w:rPr>
                <w:noProof/>
                <w:lang w:val="sr-Cyrl-RS"/>
              </w:rPr>
            </w:pPr>
            <w:r w:rsidRPr="000C0BCB">
              <w:rPr>
                <w:noProof/>
                <w:color w:val="000000"/>
                <w:lang w:val="sr-Cyrl-RS"/>
              </w:rPr>
              <w:t>Eкономскa класификацијa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A20246" w14:textId="77777777" w:rsidR="0090200A" w:rsidRPr="000C0BCB" w:rsidRDefault="0090200A" w:rsidP="00150DF6">
            <w:pPr>
              <w:jc w:val="center"/>
              <w:rPr>
                <w:noProof/>
                <w:lang w:val="sr-Cyrl-RS"/>
              </w:rPr>
            </w:pPr>
            <w:r w:rsidRPr="000C0BCB">
              <w:rPr>
                <w:noProof/>
                <w:color w:val="000000"/>
                <w:lang w:val="sr-Cyrl-RS"/>
              </w:rPr>
              <w:t>Износ у динарима</w:t>
            </w:r>
          </w:p>
        </w:tc>
      </w:tr>
      <w:tr w:rsidR="0090200A" w:rsidRPr="000C0BCB" w14:paraId="4B1F76EA"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A85293" w14:textId="77777777" w:rsidR="0090200A" w:rsidRPr="000C0BCB" w:rsidRDefault="0090200A" w:rsidP="00150DF6">
            <w:pPr>
              <w:rPr>
                <w:noProof/>
                <w:lang w:val="sr-Cyrl-RS"/>
              </w:rPr>
            </w:pPr>
            <w:r w:rsidRPr="000C0BCB">
              <w:rPr>
                <w:noProof/>
                <w:color w:val="000000"/>
                <w:lang w:val="sr-Cyrl-RS"/>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74CF70"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46AB1D" w14:textId="77777777" w:rsidR="0090200A" w:rsidRPr="000C0BCB" w:rsidRDefault="0090200A" w:rsidP="00150DF6">
            <w:pPr>
              <w:jc w:val="right"/>
              <w:rPr>
                <w:noProof/>
                <w:color w:val="000000"/>
                <w:lang w:val="sr-Cyrl-RS"/>
              </w:rPr>
            </w:pPr>
            <w:r>
              <w:rPr>
                <w:color w:val="000000"/>
              </w:rPr>
              <w:t>2.660.200.000.000</w:t>
            </w:r>
          </w:p>
        </w:tc>
      </w:tr>
      <w:tr w:rsidR="0090200A" w:rsidRPr="000C0BCB" w14:paraId="6368D9F0"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1121C0C2" w14:textId="77777777" w:rsidR="0090200A" w:rsidRPr="000C0BCB" w:rsidRDefault="0090200A" w:rsidP="00150DF6">
            <w:pPr>
              <w:rPr>
                <w:noProof/>
                <w:lang w:val="sr-Cyrl-RS"/>
              </w:rPr>
            </w:pPr>
            <w:r w:rsidRPr="000C0BCB">
              <w:rPr>
                <w:noProof/>
                <w:color w:val="000000"/>
                <w:lang w:val="sr-Cyrl-RS"/>
              </w:rPr>
              <w:t>1.Текући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6EC8C78" w14:textId="77777777" w:rsidR="0090200A" w:rsidRPr="000C0BCB" w:rsidRDefault="0090200A" w:rsidP="00150DF6">
            <w:pPr>
              <w:jc w:val="center"/>
              <w:rPr>
                <w:noProof/>
                <w:lang w:val="sr-Cyrl-RS"/>
              </w:rPr>
            </w:pPr>
            <w:r w:rsidRPr="000C0BCB">
              <w:rPr>
                <w:noProof/>
                <w:color w:val="000000"/>
                <w:lang w:val="sr-Cyrl-RS"/>
              </w:rPr>
              <w:t>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D5C810" w14:textId="77777777" w:rsidR="0090200A" w:rsidRPr="000C0BCB" w:rsidRDefault="0090200A" w:rsidP="00150DF6">
            <w:pPr>
              <w:jc w:val="right"/>
              <w:rPr>
                <w:noProof/>
                <w:color w:val="000000"/>
                <w:lang w:val="sr-Cyrl-RS"/>
              </w:rPr>
            </w:pPr>
            <w:r>
              <w:rPr>
                <w:color w:val="000000"/>
              </w:rPr>
              <w:t>2.002.107.689.000</w:t>
            </w:r>
          </w:p>
        </w:tc>
      </w:tr>
      <w:tr w:rsidR="0090200A" w:rsidRPr="000C0BCB" w14:paraId="3193AA83"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87DBB02" w14:textId="77777777" w:rsidR="0090200A" w:rsidRPr="000C0BCB" w:rsidRDefault="0090200A" w:rsidP="00150DF6">
            <w:pPr>
              <w:rPr>
                <w:noProof/>
                <w:lang w:val="sr-Cyrl-RS"/>
              </w:rPr>
            </w:pPr>
            <w:r w:rsidRPr="000C0BCB">
              <w:rPr>
                <w:noProof/>
                <w:color w:val="000000"/>
                <w:lang w:val="sr-Cyrl-RS"/>
              </w:rPr>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7C0802" w14:textId="77777777" w:rsidR="0090200A" w:rsidRPr="000C0BCB" w:rsidRDefault="0090200A" w:rsidP="00150DF6">
            <w:pPr>
              <w:jc w:val="center"/>
              <w:rPr>
                <w:noProof/>
                <w:lang w:val="sr-Cyrl-RS"/>
              </w:rPr>
            </w:pPr>
            <w:r w:rsidRPr="000C0BCB">
              <w:rPr>
                <w:noProof/>
                <w:color w:val="000000"/>
                <w:lang w:val="sr-Cyrl-RS"/>
              </w:rPr>
              <w:t>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4BE4C2" w14:textId="77777777" w:rsidR="0090200A" w:rsidRPr="000C0BCB" w:rsidRDefault="0090200A" w:rsidP="00150DF6">
            <w:pPr>
              <w:jc w:val="right"/>
              <w:rPr>
                <w:noProof/>
                <w:color w:val="000000"/>
                <w:lang w:val="sr-Cyrl-RS"/>
              </w:rPr>
            </w:pPr>
            <w:r>
              <w:rPr>
                <w:color w:val="000000"/>
              </w:rPr>
              <w:t>588.264.965.000</w:t>
            </w:r>
          </w:p>
        </w:tc>
      </w:tr>
      <w:tr w:rsidR="0090200A" w:rsidRPr="000C0BCB" w14:paraId="4E201773"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9013ABC" w14:textId="77777777" w:rsidR="0090200A" w:rsidRPr="000C0BCB" w:rsidRDefault="0090200A" w:rsidP="00150DF6">
            <w:pPr>
              <w:rPr>
                <w:noProof/>
                <w:lang w:val="sr-Cyrl-RS"/>
              </w:rPr>
            </w:pPr>
            <w:r w:rsidRPr="000C0BCB">
              <w:rPr>
                <w:noProof/>
                <w:color w:val="000000"/>
                <w:lang w:val="sr-Cyrl-RS"/>
              </w:rPr>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36FB4B" w14:textId="77777777" w:rsidR="0090200A" w:rsidRPr="000C0BCB" w:rsidRDefault="0090200A" w:rsidP="00150DF6">
            <w:pPr>
              <w:jc w:val="center"/>
              <w:rPr>
                <w:noProof/>
                <w:lang w:val="sr-Cyrl-RS"/>
              </w:rPr>
            </w:pPr>
            <w:r w:rsidRPr="000C0BCB">
              <w:rPr>
                <w:noProof/>
                <w:color w:val="000000"/>
                <w:lang w:val="sr-Cyrl-RS"/>
              </w:rPr>
              <w:t>411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531A2D" w14:textId="77777777" w:rsidR="0090200A" w:rsidRPr="000C0BCB" w:rsidRDefault="0090200A" w:rsidP="00150DF6">
            <w:pPr>
              <w:jc w:val="right"/>
              <w:rPr>
                <w:noProof/>
                <w:color w:val="000000"/>
                <w:lang w:val="sr-Cyrl-RS"/>
              </w:rPr>
            </w:pPr>
            <w:r>
              <w:rPr>
                <w:color w:val="000000"/>
              </w:rPr>
              <w:t>471.629.655.000</w:t>
            </w:r>
          </w:p>
        </w:tc>
      </w:tr>
      <w:tr w:rsidR="0090200A" w:rsidRPr="000C0BCB" w14:paraId="3FCAD833"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0306E38" w14:textId="77777777" w:rsidR="0090200A" w:rsidRPr="000C0BCB" w:rsidRDefault="0090200A" w:rsidP="00150DF6">
            <w:pPr>
              <w:rPr>
                <w:noProof/>
                <w:lang w:val="sr-Cyrl-RS"/>
              </w:rPr>
            </w:pPr>
            <w:r w:rsidRPr="000C0BCB">
              <w:rPr>
                <w:noProof/>
                <w:color w:val="000000"/>
                <w:lang w:val="sr-Cyrl-RS"/>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013336" w14:textId="77777777" w:rsidR="0090200A" w:rsidRPr="000C0BCB" w:rsidRDefault="0090200A" w:rsidP="00150DF6">
            <w:pPr>
              <w:jc w:val="center"/>
              <w:rPr>
                <w:noProof/>
                <w:lang w:val="sr-Cyrl-RS"/>
              </w:rPr>
            </w:pPr>
            <w:r w:rsidRPr="000C0BCB">
              <w:rPr>
                <w:noProof/>
                <w:color w:val="000000"/>
                <w:lang w:val="sr-Cyrl-RS"/>
              </w:rPr>
              <w:t>412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16626D" w14:textId="77777777" w:rsidR="0090200A" w:rsidRPr="000C0BCB" w:rsidRDefault="0090200A" w:rsidP="00150DF6">
            <w:pPr>
              <w:jc w:val="right"/>
              <w:rPr>
                <w:noProof/>
                <w:color w:val="000000"/>
                <w:lang w:val="sr-Cyrl-RS"/>
              </w:rPr>
            </w:pPr>
            <w:r>
              <w:rPr>
                <w:color w:val="000000"/>
              </w:rPr>
              <w:t>80.619.322.000</w:t>
            </w:r>
          </w:p>
        </w:tc>
      </w:tr>
      <w:tr w:rsidR="0090200A" w:rsidRPr="000C0BCB" w14:paraId="4BB48EE7"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3D4E5E1" w14:textId="77777777" w:rsidR="0090200A" w:rsidRPr="000C0BCB" w:rsidRDefault="0090200A" w:rsidP="00150DF6">
            <w:pPr>
              <w:rPr>
                <w:noProof/>
                <w:lang w:val="sr-Cyrl-RS"/>
              </w:rPr>
            </w:pPr>
            <w:r w:rsidRPr="000C0BCB">
              <w:rPr>
                <w:noProof/>
                <w:color w:val="000000"/>
                <w:lang w:val="sr-Cyrl-RS"/>
              </w:rPr>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83E245" w14:textId="77777777" w:rsidR="0090200A" w:rsidRPr="000C0BCB" w:rsidRDefault="0090200A" w:rsidP="00150DF6">
            <w:pPr>
              <w:jc w:val="center"/>
              <w:rPr>
                <w:noProof/>
                <w:lang w:val="sr-Cyrl-RS"/>
              </w:rPr>
            </w:pPr>
            <w:r w:rsidRPr="000C0BCB">
              <w:rPr>
                <w:noProof/>
                <w:color w:val="000000"/>
                <w:lang w:val="sr-Cyrl-RS"/>
              </w:rPr>
              <w:t>413 до 417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8C62BB" w14:textId="77777777" w:rsidR="0090200A" w:rsidRPr="000C0BCB" w:rsidRDefault="0090200A" w:rsidP="00150DF6">
            <w:pPr>
              <w:jc w:val="right"/>
              <w:rPr>
                <w:noProof/>
                <w:color w:val="000000"/>
                <w:lang w:val="sr-Cyrl-RS"/>
              </w:rPr>
            </w:pPr>
            <w:r>
              <w:rPr>
                <w:color w:val="000000"/>
              </w:rPr>
              <w:t>36.015.988.000</w:t>
            </w:r>
          </w:p>
        </w:tc>
      </w:tr>
      <w:tr w:rsidR="0090200A" w:rsidRPr="000C0BCB" w14:paraId="0497A168"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8DB0E21" w14:textId="77777777" w:rsidR="0090200A" w:rsidRPr="000C0BCB" w:rsidRDefault="0090200A" w:rsidP="00150DF6">
            <w:pPr>
              <w:rPr>
                <w:noProof/>
                <w:lang w:val="sr-Cyrl-RS"/>
              </w:rPr>
            </w:pPr>
            <w:r w:rsidRPr="000C0BCB">
              <w:rPr>
                <w:noProof/>
                <w:color w:val="000000"/>
                <w:lang w:val="sr-Cyrl-RS"/>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B9FC81" w14:textId="77777777" w:rsidR="0090200A" w:rsidRPr="000C0BCB" w:rsidRDefault="0090200A" w:rsidP="00150DF6">
            <w:pPr>
              <w:jc w:val="center"/>
              <w:rPr>
                <w:noProof/>
                <w:lang w:val="sr-Cyrl-RS"/>
              </w:rPr>
            </w:pPr>
            <w:r w:rsidRPr="000C0BCB">
              <w:rPr>
                <w:noProof/>
                <w:color w:val="000000"/>
                <w:lang w:val="sr-Cyrl-RS"/>
              </w:rPr>
              <w:t>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818A5A6" w14:textId="77777777" w:rsidR="0090200A" w:rsidRPr="000C0BCB" w:rsidRDefault="0090200A" w:rsidP="00150DF6">
            <w:pPr>
              <w:jc w:val="right"/>
              <w:rPr>
                <w:noProof/>
                <w:color w:val="000000"/>
                <w:lang w:val="sr-Cyrl-RS"/>
              </w:rPr>
            </w:pPr>
            <w:r>
              <w:rPr>
                <w:color w:val="000000"/>
              </w:rPr>
              <w:t>268.030.777.000</w:t>
            </w:r>
          </w:p>
        </w:tc>
      </w:tr>
      <w:tr w:rsidR="0090200A" w:rsidRPr="000C0BCB" w14:paraId="77758CEF"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817CCED" w14:textId="77777777" w:rsidR="0090200A" w:rsidRPr="000C0BCB" w:rsidRDefault="0090200A" w:rsidP="00150DF6">
            <w:pPr>
              <w:rPr>
                <w:noProof/>
                <w:lang w:val="sr-Cyrl-RS"/>
              </w:rPr>
            </w:pPr>
            <w:r w:rsidRPr="000C0BCB">
              <w:rPr>
                <w:noProof/>
                <w:color w:val="000000"/>
                <w:lang w:val="sr-Cyrl-RS"/>
              </w:rPr>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1D7823" w14:textId="77777777" w:rsidR="0090200A" w:rsidRPr="000C0BCB" w:rsidRDefault="0090200A" w:rsidP="00150DF6">
            <w:pPr>
              <w:jc w:val="center"/>
              <w:rPr>
                <w:noProof/>
                <w:lang w:val="sr-Cyrl-RS"/>
              </w:rPr>
            </w:pPr>
            <w:r w:rsidRPr="000C0BCB">
              <w:rPr>
                <w:noProof/>
                <w:color w:val="000000"/>
                <w:lang w:val="sr-Cyrl-RS"/>
              </w:rPr>
              <w:t>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96C0F8" w14:textId="77777777" w:rsidR="0090200A" w:rsidRPr="000C0BCB" w:rsidRDefault="0090200A" w:rsidP="00150DF6">
            <w:pPr>
              <w:jc w:val="right"/>
              <w:rPr>
                <w:noProof/>
                <w:color w:val="000000"/>
                <w:lang w:val="sr-Cyrl-RS"/>
              </w:rPr>
            </w:pPr>
            <w:r>
              <w:rPr>
                <w:color w:val="000000"/>
              </w:rPr>
              <w:t>220.254.958.000</w:t>
            </w:r>
          </w:p>
        </w:tc>
      </w:tr>
      <w:tr w:rsidR="0090200A" w:rsidRPr="000C0BCB" w14:paraId="6587CCD8"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3AC986B" w14:textId="77777777" w:rsidR="0090200A" w:rsidRPr="000C0BCB" w:rsidRDefault="0090200A" w:rsidP="00150DF6">
            <w:pPr>
              <w:rPr>
                <w:noProof/>
                <w:lang w:val="sr-Cyrl-RS"/>
              </w:rPr>
            </w:pPr>
            <w:r w:rsidRPr="000C0BCB">
              <w:rPr>
                <w:noProof/>
                <w:color w:val="000000"/>
                <w:lang w:val="sr-Cyrl-RS"/>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F603AC8" w14:textId="77777777" w:rsidR="0090200A" w:rsidRPr="000C0BCB" w:rsidRDefault="0090200A" w:rsidP="00150DF6">
            <w:pPr>
              <w:jc w:val="center"/>
              <w:rPr>
                <w:noProof/>
                <w:lang w:val="sr-Cyrl-RS"/>
              </w:rPr>
            </w:pPr>
            <w:r w:rsidRPr="000C0BCB">
              <w:rPr>
                <w:noProof/>
                <w:color w:val="000000"/>
                <w:lang w:val="sr-Cyrl-RS"/>
              </w:rPr>
              <w:t>441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BBD283" w14:textId="77777777" w:rsidR="0090200A" w:rsidRPr="000C0BCB" w:rsidRDefault="0090200A" w:rsidP="00150DF6">
            <w:pPr>
              <w:jc w:val="right"/>
              <w:rPr>
                <w:noProof/>
                <w:color w:val="000000"/>
                <w:lang w:val="sr-Cyrl-RS"/>
              </w:rPr>
            </w:pPr>
            <w:r>
              <w:rPr>
                <w:color w:val="000000"/>
              </w:rPr>
              <w:t>64.796.520.000</w:t>
            </w:r>
          </w:p>
        </w:tc>
      </w:tr>
      <w:tr w:rsidR="0090200A" w:rsidRPr="000C0BCB" w14:paraId="698F0908"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5CA71D5" w14:textId="77777777" w:rsidR="0090200A" w:rsidRPr="000C0BCB" w:rsidRDefault="0090200A" w:rsidP="00150DF6">
            <w:pPr>
              <w:rPr>
                <w:noProof/>
                <w:lang w:val="sr-Cyrl-RS"/>
              </w:rPr>
            </w:pPr>
            <w:r w:rsidRPr="000C0BCB">
              <w:rPr>
                <w:noProof/>
                <w:color w:val="000000"/>
                <w:lang w:val="sr-Cyrl-RS"/>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7DB96A" w14:textId="77777777" w:rsidR="0090200A" w:rsidRPr="000C0BCB" w:rsidRDefault="0090200A" w:rsidP="00150DF6">
            <w:pPr>
              <w:jc w:val="center"/>
              <w:rPr>
                <w:noProof/>
                <w:lang w:val="sr-Cyrl-RS"/>
              </w:rPr>
            </w:pPr>
            <w:r w:rsidRPr="000C0BCB">
              <w:rPr>
                <w:noProof/>
                <w:color w:val="000000"/>
                <w:lang w:val="sr-Cyrl-RS"/>
              </w:rPr>
              <w:t>442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3F0AD3" w14:textId="77777777" w:rsidR="0090200A" w:rsidRPr="000C0BCB" w:rsidRDefault="0090200A" w:rsidP="00150DF6">
            <w:pPr>
              <w:jc w:val="right"/>
              <w:rPr>
                <w:noProof/>
                <w:color w:val="000000"/>
                <w:lang w:val="sr-Cyrl-RS"/>
              </w:rPr>
            </w:pPr>
            <w:r>
              <w:rPr>
                <w:color w:val="000000"/>
              </w:rPr>
              <w:t>126.540.010.000</w:t>
            </w:r>
          </w:p>
        </w:tc>
      </w:tr>
      <w:tr w:rsidR="0090200A" w:rsidRPr="000C0BCB" w14:paraId="382D9C97"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F5A6394" w14:textId="77777777" w:rsidR="0090200A" w:rsidRPr="000C0BCB" w:rsidRDefault="0090200A" w:rsidP="00150DF6">
            <w:pPr>
              <w:rPr>
                <w:noProof/>
                <w:lang w:val="sr-Cyrl-RS"/>
              </w:rPr>
            </w:pPr>
            <w:r w:rsidRPr="000C0BCB">
              <w:rPr>
                <w:noProof/>
                <w:color w:val="000000"/>
                <w:lang w:val="sr-Cyrl-RS"/>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AAFF48" w14:textId="77777777" w:rsidR="0090200A" w:rsidRPr="000C0BCB" w:rsidRDefault="0090200A" w:rsidP="00150DF6">
            <w:pPr>
              <w:jc w:val="center"/>
              <w:rPr>
                <w:noProof/>
                <w:lang w:val="sr-Cyrl-RS"/>
              </w:rPr>
            </w:pPr>
            <w:r w:rsidRPr="000C0BCB">
              <w:rPr>
                <w:noProof/>
                <w:color w:val="000000"/>
                <w:lang w:val="sr-Cyrl-RS"/>
              </w:rPr>
              <w:t>443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1030D0" w14:textId="77777777" w:rsidR="0090200A" w:rsidRPr="000C0BCB" w:rsidRDefault="0090200A" w:rsidP="00150DF6">
            <w:pPr>
              <w:jc w:val="right"/>
              <w:rPr>
                <w:noProof/>
                <w:color w:val="000000"/>
                <w:lang w:val="sr-Cyrl-RS"/>
              </w:rPr>
            </w:pPr>
            <w:r>
              <w:rPr>
                <w:color w:val="000000"/>
              </w:rPr>
              <w:t>6.477.063.000</w:t>
            </w:r>
          </w:p>
        </w:tc>
      </w:tr>
      <w:tr w:rsidR="0090200A" w:rsidRPr="000C0BCB" w14:paraId="613E372D" w14:textId="77777777" w:rsidTr="00150DF6">
        <w:trPr>
          <w:trHeight w:val="273"/>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8DD1E9A" w14:textId="77777777" w:rsidR="0090200A" w:rsidRPr="000C0BCB" w:rsidRDefault="0090200A" w:rsidP="00150DF6">
            <w:pPr>
              <w:rPr>
                <w:noProof/>
                <w:lang w:val="sr-Cyrl-RS"/>
              </w:rPr>
            </w:pPr>
            <w:r w:rsidRPr="000C0BCB">
              <w:rPr>
                <w:noProof/>
                <w:color w:val="000000"/>
                <w:lang w:val="sr-Cyrl-RS"/>
              </w:rPr>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EBDA4D" w14:textId="77777777" w:rsidR="0090200A" w:rsidRPr="000C0BCB" w:rsidRDefault="0090200A" w:rsidP="00150DF6">
            <w:pPr>
              <w:jc w:val="center"/>
              <w:rPr>
                <w:noProof/>
                <w:lang w:val="sr-Cyrl-RS"/>
              </w:rPr>
            </w:pPr>
            <w:r w:rsidRPr="000C0BCB">
              <w:rPr>
                <w:noProof/>
                <w:color w:val="000000"/>
                <w:lang w:val="sr-Cyrl-RS"/>
              </w:rPr>
              <w:t>444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422AC71" w14:textId="77777777" w:rsidR="0090200A" w:rsidRPr="000C0BCB" w:rsidRDefault="0090200A" w:rsidP="00150DF6">
            <w:pPr>
              <w:jc w:val="right"/>
              <w:rPr>
                <w:noProof/>
                <w:color w:val="000000"/>
                <w:lang w:val="sr-Cyrl-RS"/>
              </w:rPr>
            </w:pPr>
            <w:r>
              <w:rPr>
                <w:color w:val="000000"/>
              </w:rPr>
              <w:t>22.441.365.000</w:t>
            </w:r>
          </w:p>
        </w:tc>
      </w:tr>
      <w:tr w:rsidR="0090200A" w:rsidRPr="000C0BCB" w14:paraId="43685450"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AD7A82B" w14:textId="77777777" w:rsidR="0090200A" w:rsidRPr="000C0BCB" w:rsidRDefault="0090200A" w:rsidP="00150DF6">
            <w:pPr>
              <w:rPr>
                <w:noProof/>
                <w:lang w:val="sr-Cyrl-RS"/>
              </w:rPr>
            </w:pPr>
            <w:r w:rsidRPr="000C0BCB">
              <w:rPr>
                <w:noProof/>
                <w:color w:val="000000"/>
                <w:lang w:val="sr-Cyrl-RS"/>
              </w:rPr>
              <w:t>1.4.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5B45E6" w14:textId="77777777" w:rsidR="0090200A" w:rsidRPr="000C0BCB" w:rsidRDefault="0090200A" w:rsidP="00150DF6">
            <w:pPr>
              <w:jc w:val="center"/>
              <w:rPr>
                <w:noProof/>
                <w:lang w:val="sr-Cyrl-RS"/>
              </w:rPr>
            </w:pPr>
            <w:r w:rsidRPr="000C0BCB">
              <w:rPr>
                <w:noProof/>
                <w:color w:val="000000"/>
                <w:lang w:val="sr-Cyrl-RS"/>
              </w:rPr>
              <w:t>45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E955EF2" w14:textId="77777777" w:rsidR="0090200A" w:rsidRPr="000C0BCB" w:rsidRDefault="0090200A" w:rsidP="00150DF6">
            <w:pPr>
              <w:jc w:val="right"/>
              <w:rPr>
                <w:noProof/>
                <w:color w:val="000000"/>
                <w:lang w:val="sr-Cyrl-RS"/>
              </w:rPr>
            </w:pPr>
            <w:r>
              <w:rPr>
                <w:color w:val="000000"/>
              </w:rPr>
              <w:t>224.040.383.000</w:t>
            </w:r>
          </w:p>
        </w:tc>
      </w:tr>
      <w:tr w:rsidR="0090200A" w:rsidRPr="000C0BCB" w14:paraId="453032D0"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4775835" w14:textId="77777777" w:rsidR="0090200A" w:rsidRPr="000C0BCB" w:rsidRDefault="0090200A" w:rsidP="00150DF6">
            <w:pPr>
              <w:rPr>
                <w:noProof/>
                <w:lang w:val="sr-Cyrl-RS"/>
              </w:rPr>
            </w:pPr>
            <w:r w:rsidRPr="000C0BCB">
              <w:rPr>
                <w:noProof/>
                <w:color w:val="000000"/>
                <w:lang w:val="sr-Cyrl-RS"/>
              </w:rPr>
              <w:t xml:space="preserve">- Субвенције у области науке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7FA63F" w14:textId="77777777" w:rsidR="0090200A" w:rsidRPr="000C0BCB" w:rsidRDefault="0090200A" w:rsidP="00150DF6">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19932E" w14:textId="77777777" w:rsidR="0090200A" w:rsidRPr="000C0BCB" w:rsidRDefault="0090200A" w:rsidP="00150DF6">
            <w:pPr>
              <w:jc w:val="right"/>
              <w:rPr>
                <w:noProof/>
                <w:color w:val="000000"/>
                <w:lang w:val="sr-Cyrl-RS"/>
              </w:rPr>
            </w:pPr>
            <w:r>
              <w:rPr>
                <w:color w:val="000000"/>
              </w:rPr>
              <w:t>3.859.285.000</w:t>
            </w:r>
          </w:p>
        </w:tc>
      </w:tr>
      <w:tr w:rsidR="0090200A" w:rsidRPr="000C0BCB" w14:paraId="41139A20"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51A2D00" w14:textId="77777777" w:rsidR="0090200A" w:rsidRPr="000C0BCB" w:rsidRDefault="0090200A" w:rsidP="00150DF6">
            <w:pPr>
              <w:rPr>
                <w:noProof/>
                <w:lang w:val="sr-Cyrl-RS"/>
              </w:rPr>
            </w:pPr>
            <w:r w:rsidRPr="000C0BCB">
              <w:rPr>
                <w:noProof/>
                <w:color w:val="000000"/>
                <w:lang w:val="sr-Cyrl-RS"/>
              </w:rPr>
              <w:t xml:space="preserve">- Субвенције у области рударства и енергетике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3D583B" w14:textId="77777777" w:rsidR="0090200A" w:rsidRPr="000C0BCB" w:rsidRDefault="0090200A" w:rsidP="00150DF6">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46E933F" w14:textId="77777777" w:rsidR="0090200A" w:rsidRPr="000C0BCB" w:rsidRDefault="0090200A" w:rsidP="00150DF6">
            <w:pPr>
              <w:jc w:val="right"/>
              <w:rPr>
                <w:noProof/>
                <w:color w:val="000000"/>
                <w:lang w:val="sr-Cyrl-RS"/>
              </w:rPr>
            </w:pPr>
            <w:r>
              <w:rPr>
                <w:color w:val="000000"/>
              </w:rPr>
              <w:t>13.418.600.000</w:t>
            </w:r>
          </w:p>
        </w:tc>
      </w:tr>
      <w:tr w:rsidR="0090200A" w:rsidRPr="000C0BCB" w14:paraId="0A413C52"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80C86FB" w14:textId="77777777" w:rsidR="0090200A" w:rsidRPr="000C0BCB" w:rsidRDefault="0090200A" w:rsidP="00150DF6">
            <w:pPr>
              <w:rPr>
                <w:noProof/>
                <w:color w:val="000000"/>
                <w:lang w:val="sr-Cyrl-RS"/>
              </w:rPr>
            </w:pPr>
            <w:r w:rsidRPr="000C0BCB">
              <w:rPr>
                <w:noProof/>
                <w:color w:val="000000"/>
                <w:lang w:val="sr-Cyrl-RS"/>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A31E5C" w14:textId="77777777" w:rsidR="0090200A" w:rsidRPr="000C0BCB" w:rsidRDefault="0090200A" w:rsidP="00150DF6">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D0545D" w14:textId="77777777" w:rsidR="0090200A" w:rsidRPr="000C0BCB" w:rsidRDefault="0090200A" w:rsidP="00150DF6">
            <w:pPr>
              <w:jc w:val="right"/>
              <w:rPr>
                <w:noProof/>
                <w:color w:val="000000"/>
                <w:lang w:val="sr-Cyrl-RS"/>
              </w:rPr>
            </w:pPr>
            <w:r>
              <w:rPr>
                <w:color w:val="000000"/>
              </w:rPr>
              <w:t>4.395.500.000</w:t>
            </w:r>
          </w:p>
        </w:tc>
      </w:tr>
      <w:tr w:rsidR="0090200A" w:rsidRPr="000C0BCB" w14:paraId="4EBDB816"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3B3C2AD" w14:textId="77777777" w:rsidR="0090200A" w:rsidRPr="000C0BCB" w:rsidRDefault="0090200A" w:rsidP="00150DF6">
            <w:pPr>
              <w:rPr>
                <w:noProof/>
                <w:color w:val="000000"/>
                <w:lang w:val="sr-Cyrl-RS"/>
              </w:rPr>
            </w:pPr>
            <w:r w:rsidRPr="000C0BCB">
              <w:rPr>
                <w:noProof/>
                <w:color w:val="000000"/>
                <w:lang w:val="sr-Cyrl-RS"/>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4012C2" w14:textId="77777777" w:rsidR="0090200A" w:rsidRPr="000C0BCB" w:rsidRDefault="0090200A" w:rsidP="00150DF6">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1C60E4" w14:textId="77777777" w:rsidR="0090200A" w:rsidRPr="000C0BCB" w:rsidRDefault="0090200A" w:rsidP="00150DF6">
            <w:pPr>
              <w:jc w:val="right"/>
              <w:rPr>
                <w:noProof/>
                <w:color w:val="000000"/>
                <w:lang w:val="sr-Cyrl-RS"/>
              </w:rPr>
            </w:pPr>
            <w:r>
              <w:rPr>
                <w:color w:val="000000"/>
              </w:rPr>
              <w:t>605.000.000</w:t>
            </w:r>
          </w:p>
        </w:tc>
      </w:tr>
      <w:tr w:rsidR="0090200A" w:rsidRPr="000C0BCB" w14:paraId="5B683AD3"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F4BF2BE" w14:textId="77777777" w:rsidR="0090200A" w:rsidRPr="000C0BCB" w:rsidRDefault="0090200A" w:rsidP="00150DF6">
            <w:pPr>
              <w:rPr>
                <w:noProof/>
                <w:color w:val="000000"/>
                <w:lang w:val="sr-Cyrl-RS"/>
              </w:rPr>
            </w:pPr>
            <w:r w:rsidRPr="000C0BCB">
              <w:rPr>
                <w:noProof/>
                <w:color w:val="000000"/>
                <w:lang w:val="sr-Cyrl-RS"/>
              </w:rPr>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AC3930" w14:textId="77777777" w:rsidR="0090200A" w:rsidRPr="000C0BCB" w:rsidRDefault="0090200A" w:rsidP="00150DF6">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1AE24C" w14:textId="77777777" w:rsidR="0090200A" w:rsidRPr="000C0BCB" w:rsidRDefault="0090200A" w:rsidP="00150DF6">
            <w:pPr>
              <w:jc w:val="right"/>
              <w:rPr>
                <w:noProof/>
                <w:color w:val="000000"/>
                <w:lang w:val="sr-Cyrl-RS"/>
              </w:rPr>
            </w:pPr>
            <w:r>
              <w:rPr>
                <w:color w:val="000000"/>
              </w:rPr>
              <w:t>26.955.000.000</w:t>
            </w:r>
          </w:p>
        </w:tc>
      </w:tr>
      <w:tr w:rsidR="0090200A" w:rsidRPr="000C0BCB" w14:paraId="479199A1"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8A599DA" w14:textId="77777777" w:rsidR="0090200A" w:rsidRPr="000C0BCB" w:rsidRDefault="0090200A" w:rsidP="00150DF6">
            <w:pPr>
              <w:rPr>
                <w:noProof/>
                <w:color w:val="000000"/>
                <w:lang w:val="sr-Cyrl-RS"/>
              </w:rPr>
            </w:pPr>
            <w:r w:rsidRPr="000C0BCB">
              <w:rPr>
                <w:noProof/>
                <w:color w:val="000000"/>
                <w:lang w:val="sr-Cyrl-RS"/>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40C1AF0" w14:textId="77777777" w:rsidR="0090200A" w:rsidRPr="000C0BCB" w:rsidRDefault="0090200A" w:rsidP="00150DF6">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721B64" w14:textId="77777777" w:rsidR="0090200A" w:rsidRPr="000C0BCB" w:rsidRDefault="0090200A" w:rsidP="00150DF6">
            <w:pPr>
              <w:jc w:val="right"/>
              <w:rPr>
                <w:noProof/>
                <w:color w:val="000000"/>
                <w:lang w:val="sr-Cyrl-RS"/>
              </w:rPr>
            </w:pPr>
            <w:r>
              <w:rPr>
                <w:color w:val="000000"/>
              </w:rPr>
              <w:t>116.386.623.000</w:t>
            </w:r>
          </w:p>
        </w:tc>
      </w:tr>
      <w:tr w:rsidR="0090200A" w:rsidRPr="000C0BCB" w14:paraId="6DCEE4FA"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7BF8836" w14:textId="77777777" w:rsidR="0090200A" w:rsidRPr="000C0BCB" w:rsidRDefault="0090200A" w:rsidP="00150DF6">
            <w:pPr>
              <w:rPr>
                <w:noProof/>
                <w:color w:val="000000"/>
                <w:lang w:val="sr-Cyrl-RS"/>
              </w:rPr>
            </w:pPr>
            <w:r w:rsidRPr="000C0BCB">
              <w:rPr>
                <w:noProof/>
                <w:color w:val="000000"/>
                <w:lang w:val="sr-Cyrl-RS"/>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D94779" w14:textId="77777777" w:rsidR="0090200A" w:rsidRPr="000C0BCB" w:rsidRDefault="0090200A" w:rsidP="00150DF6">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97CE37" w14:textId="77777777" w:rsidR="0090200A" w:rsidRPr="000C0BCB" w:rsidRDefault="0090200A" w:rsidP="00150DF6">
            <w:pPr>
              <w:jc w:val="right"/>
              <w:rPr>
                <w:noProof/>
                <w:color w:val="000000"/>
                <w:lang w:val="sr-Cyrl-RS"/>
              </w:rPr>
            </w:pPr>
            <w:r>
              <w:rPr>
                <w:color w:val="000000"/>
              </w:rPr>
              <w:t>24.610.000.000</w:t>
            </w:r>
          </w:p>
        </w:tc>
      </w:tr>
      <w:tr w:rsidR="0090200A" w:rsidRPr="000C0BCB" w14:paraId="4D10AF9A"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5333239" w14:textId="77777777" w:rsidR="0090200A" w:rsidRPr="000C0BCB" w:rsidRDefault="0090200A" w:rsidP="00150DF6">
            <w:pPr>
              <w:rPr>
                <w:noProof/>
                <w:color w:val="000000"/>
                <w:lang w:val="sr-Cyrl-RS"/>
              </w:rPr>
            </w:pPr>
            <w:r w:rsidRPr="000C0BCB">
              <w:rPr>
                <w:noProof/>
                <w:color w:val="000000"/>
                <w:lang w:val="sr-Cyrl-RS"/>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1A81AA" w14:textId="77777777" w:rsidR="0090200A" w:rsidRPr="000C0BCB" w:rsidRDefault="0090200A" w:rsidP="00150DF6">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ECF8C6" w14:textId="77777777" w:rsidR="0090200A" w:rsidRPr="000C0BCB" w:rsidRDefault="0090200A" w:rsidP="00150DF6">
            <w:pPr>
              <w:jc w:val="right"/>
              <w:rPr>
                <w:noProof/>
                <w:color w:val="000000"/>
                <w:lang w:val="sr-Cyrl-RS"/>
              </w:rPr>
            </w:pPr>
            <w:r>
              <w:rPr>
                <w:color w:val="000000"/>
              </w:rPr>
              <w:t>26.763.000.000</w:t>
            </w:r>
          </w:p>
        </w:tc>
      </w:tr>
      <w:tr w:rsidR="0090200A" w:rsidRPr="000C0BCB" w14:paraId="7A53E98D"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42D8189" w14:textId="77777777" w:rsidR="0090200A" w:rsidRPr="000C0BCB" w:rsidRDefault="0090200A" w:rsidP="00150DF6">
            <w:pPr>
              <w:rPr>
                <w:noProof/>
                <w:color w:val="000000"/>
                <w:lang w:val="sr-Cyrl-RS"/>
              </w:rPr>
            </w:pPr>
            <w:r w:rsidRPr="000C0BCB">
              <w:rPr>
                <w:noProof/>
                <w:color w:val="000000"/>
                <w:lang w:val="sr-Cyrl-RS"/>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CF2F66" w14:textId="77777777" w:rsidR="0090200A" w:rsidRPr="000C0BCB" w:rsidRDefault="0090200A" w:rsidP="00150DF6">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5A329A" w14:textId="77777777" w:rsidR="0090200A" w:rsidRPr="000C0BCB" w:rsidRDefault="0090200A" w:rsidP="00150DF6">
            <w:pPr>
              <w:jc w:val="right"/>
              <w:rPr>
                <w:noProof/>
                <w:color w:val="000000"/>
                <w:lang w:val="sr-Cyrl-RS"/>
              </w:rPr>
            </w:pPr>
            <w:r>
              <w:rPr>
                <w:color w:val="000000"/>
              </w:rPr>
              <w:t>1.343.000.000</w:t>
            </w:r>
          </w:p>
        </w:tc>
      </w:tr>
      <w:tr w:rsidR="0090200A" w:rsidRPr="000C0BCB" w14:paraId="7ECCFE66"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033BB7D" w14:textId="77777777" w:rsidR="0090200A" w:rsidRPr="000C0BCB" w:rsidRDefault="0090200A" w:rsidP="00150DF6">
            <w:pPr>
              <w:rPr>
                <w:noProof/>
                <w:lang w:val="sr-Cyrl-RS"/>
              </w:rPr>
            </w:pPr>
            <w:r w:rsidRPr="000C0BCB">
              <w:rPr>
                <w:noProof/>
                <w:color w:val="000000"/>
                <w:lang w:val="sr-Cyrl-RS"/>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AC683A" w14:textId="77777777" w:rsidR="0090200A" w:rsidRPr="000C0BCB" w:rsidRDefault="0090200A" w:rsidP="00150DF6">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0274D4C" w14:textId="77777777" w:rsidR="0090200A" w:rsidRPr="000C0BCB" w:rsidRDefault="0090200A" w:rsidP="00150DF6">
            <w:pPr>
              <w:jc w:val="right"/>
              <w:rPr>
                <w:noProof/>
                <w:color w:val="000000"/>
                <w:lang w:val="sr-Cyrl-RS"/>
              </w:rPr>
            </w:pPr>
            <w:r>
              <w:rPr>
                <w:color w:val="000000"/>
              </w:rPr>
              <w:t>2.000.000.000</w:t>
            </w:r>
          </w:p>
        </w:tc>
      </w:tr>
      <w:tr w:rsidR="0090200A" w:rsidRPr="000C0BCB" w14:paraId="5D802A95"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9488C30" w14:textId="77777777" w:rsidR="0090200A" w:rsidRPr="000C0BCB" w:rsidRDefault="0090200A" w:rsidP="00150DF6">
            <w:pPr>
              <w:rPr>
                <w:noProof/>
                <w:lang w:val="sr-Cyrl-RS"/>
              </w:rPr>
            </w:pPr>
            <w:r w:rsidRPr="000C0BCB">
              <w:rPr>
                <w:noProof/>
                <w:color w:val="000000"/>
                <w:lang w:val="sr-Cyrl-RS"/>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36DC57" w14:textId="77777777" w:rsidR="0090200A" w:rsidRPr="000C0BCB" w:rsidRDefault="0090200A" w:rsidP="00150DF6">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AFB359" w14:textId="77777777" w:rsidR="0090200A" w:rsidRPr="000C0BCB" w:rsidRDefault="0090200A" w:rsidP="00150DF6">
            <w:pPr>
              <w:jc w:val="right"/>
              <w:rPr>
                <w:noProof/>
                <w:color w:val="000000"/>
                <w:lang w:val="sr-Cyrl-RS"/>
              </w:rPr>
            </w:pPr>
            <w:r>
              <w:rPr>
                <w:color w:val="000000"/>
              </w:rPr>
              <w:t>3.704.375.000</w:t>
            </w:r>
          </w:p>
        </w:tc>
      </w:tr>
      <w:tr w:rsidR="0090200A" w:rsidRPr="000C0BCB" w14:paraId="4E26B7A1"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18EE7A63" w14:textId="77777777" w:rsidR="0090200A" w:rsidRPr="000C0BCB" w:rsidRDefault="0090200A" w:rsidP="00150DF6">
            <w:pPr>
              <w:rPr>
                <w:noProof/>
                <w:lang w:val="sr-Cyrl-RS"/>
              </w:rPr>
            </w:pPr>
            <w:r w:rsidRPr="000C0BCB">
              <w:rPr>
                <w:noProof/>
                <w:color w:val="000000"/>
                <w:lang w:val="sr-Cyrl-RS"/>
              </w:rPr>
              <w:t>1.5. Донације страним владама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D9DCCB" w14:textId="77777777" w:rsidR="0090200A" w:rsidRPr="000C0BCB" w:rsidRDefault="0090200A" w:rsidP="00150DF6">
            <w:pPr>
              <w:jc w:val="center"/>
              <w:rPr>
                <w:noProof/>
                <w:lang w:val="sr-Cyrl-RS"/>
              </w:rPr>
            </w:pPr>
            <w:r w:rsidRPr="000C0BCB">
              <w:rPr>
                <w:noProof/>
                <w:color w:val="000000"/>
                <w:lang w:val="sr-Cyrl-RS"/>
              </w:rPr>
              <w:t>461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F80D65" w14:textId="77777777" w:rsidR="0090200A" w:rsidRPr="000C0BCB" w:rsidRDefault="0090200A" w:rsidP="00150DF6">
            <w:pPr>
              <w:jc w:val="right"/>
              <w:rPr>
                <w:noProof/>
                <w:color w:val="000000"/>
                <w:lang w:val="sr-Cyrl-RS"/>
              </w:rPr>
            </w:pPr>
            <w:r>
              <w:rPr>
                <w:color w:val="000000"/>
              </w:rPr>
              <w:t>15.576.000</w:t>
            </w:r>
          </w:p>
        </w:tc>
      </w:tr>
      <w:tr w:rsidR="0090200A" w:rsidRPr="000C0BCB" w14:paraId="6F8FC90F"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3E5F7075" w14:textId="77777777" w:rsidR="0090200A" w:rsidRPr="000C0BCB" w:rsidRDefault="0090200A" w:rsidP="00150DF6">
            <w:pPr>
              <w:rPr>
                <w:noProof/>
                <w:lang w:val="sr-Cyrl-RS"/>
              </w:rPr>
            </w:pPr>
            <w:r w:rsidRPr="000C0BCB">
              <w:rPr>
                <w:noProof/>
                <w:color w:val="000000"/>
                <w:lang w:val="sr-Cyrl-RS"/>
              </w:rPr>
              <w:lastRenderedPageBreak/>
              <w:t>1.6.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E6A1197" w14:textId="77777777" w:rsidR="0090200A" w:rsidRPr="000C0BCB" w:rsidRDefault="0090200A" w:rsidP="00150DF6">
            <w:pPr>
              <w:jc w:val="center"/>
              <w:rPr>
                <w:noProof/>
                <w:lang w:val="sr-Cyrl-RS"/>
              </w:rPr>
            </w:pPr>
            <w:r w:rsidRPr="000C0BCB">
              <w:rPr>
                <w:noProof/>
                <w:color w:val="000000"/>
                <w:lang w:val="sr-Cyrl-RS"/>
              </w:rPr>
              <w:t>462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31CCEE" w14:textId="77777777" w:rsidR="0090200A" w:rsidRPr="000C0BCB" w:rsidRDefault="0090200A" w:rsidP="00150DF6">
            <w:pPr>
              <w:jc w:val="right"/>
              <w:rPr>
                <w:noProof/>
                <w:color w:val="000000"/>
                <w:lang w:val="sr-Cyrl-RS"/>
              </w:rPr>
            </w:pPr>
            <w:r>
              <w:rPr>
                <w:color w:val="000000"/>
              </w:rPr>
              <w:t>9.668.041.000</w:t>
            </w:r>
          </w:p>
        </w:tc>
      </w:tr>
      <w:tr w:rsidR="0090200A" w:rsidRPr="000C0BCB" w14:paraId="6D946B42"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A21355D" w14:textId="77777777" w:rsidR="0090200A" w:rsidRPr="000C0BCB" w:rsidRDefault="0090200A" w:rsidP="00150DF6">
            <w:pPr>
              <w:rPr>
                <w:noProof/>
                <w:lang w:val="sr-Cyrl-RS"/>
              </w:rPr>
            </w:pPr>
            <w:r w:rsidRPr="000C0BCB">
              <w:rPr>
                <w:noProof/>
                <w:color w:val="000000"/>
                <w:lang w:val="sr-Cyrl-RS"/>
              </w:rPr>
              <w:t>1.7.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70926CC" w14:textId="77777777" w:rsidR="0090200A" w:rsidRPr="000C0BCB" w:rsidRDefault="0090200A" w:rsidP="00150DF6">
            <w:pPr>
              <w:jc w:val="center"/>
              <w:rPr>
                <w:noProof/>
                <w:lang w:val="sr-Cyrl-RS"/>
              </w:rPr>
            </w:pPr>
            <w:r w:rsidRPr="000C0BCB">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223D3E" w14:textId="77777777" w:rsidR="0090200A" w:rsidRPr="000C0BCB" w:rsidRDefault="0090200A" w:rsidP="00150DF6">
            <w:pPr>
              <w:jc w:val="right"/>
              <w:rPr>
                <w:noProof/>
                <w:color w:val="000000"/>
                <w:lang w:val="sr-Cyrl-RS"/>
              </w:rPr>
            </w:pPr>
            <w:r>
              <w:rPr>
                <w:color w:val="000000"/>
              </w:rPr>
              <w:t>81.434.474.000</w:t>
            </w:r>
          </w:p>
        </w:tc>
      </w:tr>
      <w:tr w:rsidR="0090200A" w:rsidRPr="000C0BCB" w14:paraId="16A0D89E"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1E3A6DA" w14:textId="77777777" w:rsidR="0090200A" w:rsidRPr="000C0BCB" w:rsidRDefault="0090200A" w:rsidP="00150DF6">
            <w:pPr>
              <w:rPr>
                <w:noProof/>
                <w:lang w:val="sr-Cyrl-RS"/>
              </w:rPr>
            </w:pPr>
            <w:r w:rsidRPr="000C0BCB">
              <w:rPr>
                <w:noProof/>
                <w:color w:val="000000"/>
                <w:lang w:val="sr-Cyrl-RS"/>
              </w:rPr>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84FE58" w14:textId="77777777" w:rsidR="0090200A" w:rsidRPr="000C0BCB" w:rsidRDefault="0090200A" w:rsidP="00150DF6">
            <w:pPr>
              <w:jc w:val="center"/>
              <w:rPr>
                <w:noProof/>
                <w:lang w:val="sr-Cyrl-RS"/>
              </w:rPr>
            </w:pPr>
            <w:r w:rsidRPr="000C0BCB">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1E4745" w14:textId="77777777" w:rsidR="0090200A" w:rsidRPr="000C0BCB" w:rsidRDefault="0090200A" w:rsidP="00150DF6">
            <w:pPr>
              <w:jc w:val="right"/>
              <w:rPr>
                <w:noProof/>
                <w:color w:val="000000"/>
                <w:lang w:val="sr-Cyrl-RS"/>
              </w:rPr>
            </w:pPr>
            <w:r>
              <w:rPr>
                <w:color w:val="000000"/>
              </w:rPr>
              <w:t>33.327.366.000</w:t>
            </w:r>
          </w:p>
        </w:tc>
      </w:tr>
      <w:tr w:rsidR="0090200A" w:rsidRPr="000C0BCB" w14:paraId="5E30104E"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3A2E1DE" w14:textId="77777777" w:rsidR="0090200A" w:rsidRPr="000C0BCB" w:rsidRDefault="0090200A" w:rsidP="00150DF6">
            <w:pPr>
              <w:rPr>
                <w:noProof/>
                <w:lang w:val="sr-Cyrl-RS"/>
              </w:rPr>
            </w:pPr>
            <w:r w:rsidRPr="000C0BCB">
              <w:rPr>
                <w:noProof/>
                <w:color w:val="000000"/>
                <w:lang w:val="sr-Cyrl-RS"/>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ABFCB88" w14:textId="77777777" w:rsidR="0090200A" w:rsidRPr="000C0BCB" w:rsidRDefault="0090200A" w:rsidP="00150DF6">
            <w:pPr>
              <w:jc w:val="center"/>
              <w:rPr>
                <w:noProof/>
                <w:lang w:val="sr-Cyrl-RS"/>
              </w:rPr>
            </w:pPr>
            <w:r w:rsidRPr="000C0BCB">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EFD7A0" w14:textId="77777777" w:rsidR="0090200A" w:rsidRPr="000C0BCB" w:rsidRDefault="0090200A" w:rsidP="00150DF6">
            <w:pPr>
              <w:jc w:val="right"/>
              <w:rPr>
                <w:noProof/>
                <w:color w:val="000000"/>
                <w:lang w:val="sr-Cyrl-RS"/>
              </w:rPr>
            </w:pPr>
            <w:r>
              <w:rPr>
                <w:color w:val="000000"/>
              </w:rPr>
              <w:t>48.107.108.000</w:t>
            </w:r>
          </w:p>
        </w:tc>
      </w:tr>
      <w:tr w:rsidR="0090200A" w:rsidRPr="000C0BCB" w14:paraId="5697E65E"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4EE71D9" w14:textId="77777777" w:rsidR="0090200A" w:rsidRPr="000C0BCB" w:rsidRDefault="0090200A" w:rsidP="00150DF6">
            <w:pPr>
              <w:rPr>
                <w:noProof/>
                <w:lang w:val="sr-Cyrl-RS"/>
              </w:rPr>
            </w:pPr>
            <w:r w:rsidRPr="000C0BCB">
              <w:rPr>
                <w:noProof/>
                <w:color w:val="000000"/>
                <w:lang w:val="sr-Cyrl-RS"/>
              </w:rPr>
              <w:t>1.8.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929926" w14:textId="77777777" w:rsidR="0090200A" w:rsidRPr="000C0BCB" w:rsidRDefault="0090200A" w:rsidP="00150DF6">
            <w:pPr>
              <w:jc w:val="center"/>
              <w:rPr>
                <w:noProof/>
                <w:lang w:val="sr-Cyrl-RS"/>
              </w:rPr>
            </w:pPr>
            <w:r w:rsidRPr="000C0BCB">
              <w:rPr>
                <w:noProof/>
                <w:color w:val="000000"/>
                <w:lang w:val="sr-Cyrl-RS"/>
              </w:rPr>
              <w:t>464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0A48CE" w14:textId="77777777" w:rsidR="0090200A" w:rsidRPr="000C0BCB" w:rsidRDefault="0090200A" w:rsidP="00150DF6">
            <w:pPr>
              <w:jc w:val="right"/>
              <w:rPr>
                <w:noProof/>
                <w:color w:val="000000"/>
                <w:lang w:val="sr-Cyrl-RS"/>
              </w:rPr>
            </w:pPr>
            <w:r>
              <w:rPr>
                <w:color w:val="000000"/>
              </w:rPr>
              <w:t>355.718.080.000</w:t>
            </w:r>
          </w:p>
        </w:tc>
      </w:tr>
      <w:tr w:rsidR="0090200A" w:rsidRPr="000C0BCB" w14:paraId="099846FC"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C6D94B1" w14:textId="77777777" w:rsidR="0090200A" w:rsidRPr="000C0BCB" w:rsidRDefault="0090200A" w:rsidP="00150DF6">
            <w:pPr>
              <w:rPr>
                <w:noProof/>
                <w:lang w:val="sr-Cyrl-RS"/>
              </w:rPr>
            </w:pPr>
            <w:r w:rsidRPr="000C0BCB">
              <w:rPr>
                <w:noProof/>
                <w:color w:val="000000"/>
                <w:lang w:val="sr-Cyrl-RS"/>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EE1D66"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EA9663" w14:textId="77777777" w:rsidR="0090200A" w:rsidRPr="000C0BCB" w:rsidRDefault="0090200A" w:rsidP="00150DF6">
            <w:pPr>
              <w:jc w:val="right"/>
              <w:rPr>
                <w:noProof/>
                <w:color w:val="000000"/>
                <w:lang w:val="sr-Cyrl-RS"/>
              </w:rPr>
            </w:pPr>
            <w:r>
              <w:rPr>
                <w:color w:val="000000"/>
              </w:rPr>
              <w:t>267.500.000.000</w:t>
            </w:r>
          </w:p>
        </w:tc>
      </w:tr>
      <w:tr w:rsidR="0090200A" w:rsidRPr="000C0BCB" w14:paraId="57269210"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1E7DE21" w14:textId="77777777" w:rsidR="0090200A" w:rsidRPr="000C0BCB" w:rsidRDefault="0090200A" w:rsidP="00150DF6">
            <w:pPr>
              <w:rPr>
                <w:noProof/>
                <w:lang w:val="sr-Cyrl-RS"/>
              </w:rPr>
            </w:pPr>
            <w:r w:rsidRPr="000C0BCB">
              <w:rPr>
                <w:noProof/>
                <w:color w:val="000000"/>
                <w:lang w:val="sr-Cyrl-RS"/>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74174C0"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28BEA6" w14:textId="77777777" w:rsidR="0090200A" w:rsidRPr="000C0BCB" w:rsidRDefault="0090200A" w:rsidP="00150DF6">
            <w:pPr>
              <w:jc w:val="right"/>
              <w:rPr>
                <w:noProof/>
                <w:color w:val="000000"/>
                <w:lang w:val="sr-Cyrl-RS"/>
              </w:rPr>
            </w:pPr>
            <w:r>
              <w:rPr>
                <w:color w:val="000000"/>
              </w:rPr>
              <w:t>750.000.000</w:t>
            </w:r>
          </w:p>
        </w:tc>
      </w:tr>
      <w:tr w:rsidR="0090200A" w:rsidRPr="000C0BCB" w14:paraId="01066BB8"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DBE4CA5" w14:textId="77777777" w:rsidR="0090200A" w:rsidRPr="000C0BCB" w:rsidRDefault="0090200A" w:rsidP="00150DF6">
            <w:pPr>
              <w:rPr>
                <w:noProof/>
                <w:lang w:val="sr-Cyrl-RS"/>
              </w:rPr>
            </w:pPr>
            <w:r w:rsidRPr="000C0BCB">
              <w:rPr>
                <w:noProof/>
                <w:color w:val="000000"/>
                <w:lang w:val="sr-Cyrl-RS"/>
              </w:rPr>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8F582C"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E3637C5" w14:textId="77777777" w:rsidR="0090200A" w:rsidRPr="000C0BCB" w:rsidRDefault="0090200A" w:rsidP="00150DF6">
            <w:pPr>
              <w:jc w:val="right"/>
              <w:rPr>
                <w:noProof/>
                <w:color w:val="000000"/>
                <w:lang w:val="sr-Cyrl-RS"/>
              </w:rPr>
            </w:pPr>
            <w:r>
              <w:rPr>
                <w:color w:val="000000"/>
              </w:rPr>
              <w:t>79.360.000.000</w:t>
            </w:r>
          </w:p>
        </w:tc>
      </w:tr>
      <w:tr w:rsidR="0090200A" w:rsidRPr="000C0BCB" w14:paraId="49599855"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E5F1BBA" w14:textId="77777777" w:rsidR="0090200A" w:rsidRPr="000C0BCB" w:rsidRDefault="0090200A" w:rsidP="00150DF6">
            <w:pPr>
              <w:rPr>
                <w:noProof/>
                <w:lang w:val="sr-Cyrl-RS"/>
              </w:rPr>
            </w:pPr>
            <w:r w:rsidRPr="000C0BCB">
              <w:rPr>
                <w:noProof/>
                <w:color w:val="000000"/>
                <w:lang w:val="sr-Cyrl-RS"/>
              </w:rPr>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B79D04"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0F7DCB" w14:textId="77777777" w:rsidR="0090200A" w:rsidRPr="000C0BCB" w:rsidRDefault="0090200A" w:rsidP="00150DF6">
            <w:pPr>
              <w:jc w:val="right"/>
              <w:rPr>
                <w:noProof/>
                <w:color w:val="000000"/>
                <w:lang w:val="sr-Cyrl-RS"/>
              </w:rPr>
            </w:pPr>
            <w:r>
              <w:rPr>
                <w:color w:val="000000"/>
              </w:rPr>
              <w:t>300.000.000</w:t>
            </w:r>
          </w:p>
        </w:tc>
      </w:tr>
      <w:tr w:rsidR="0090200A" w:rsidRPr="000C0BCB" w14:paraId="14F05492"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D35C894" w14:textId="77777777" w:rsidR="0090200A" w:rsidRPr="000C0BCB" w:rsidRDefault="0090200A" w:rsidP="00150DF6">
            <w:pPr>
              <w:rPr>
                <w:noProof/>
                <w:lang w:val="sr-Cyrl-RS"/>
              </w:rPr>
            </w:pPr>
            <w:r w:rsidRPr="000C0BCB">
              <w:rPr>
                <w:noProof/>
                <w:color w:val="000000"/>
                <w:lang w:val="sr-Cyrl-RS"/>
              </w:rPr>
              <w:t>- Остале дотације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5C851E"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6BC84E" w14:textId="77777777" w:rsidR="0090200A" w:rsidRPr="000C0BCB" w:rsidRDefault="0090200A" w:rsidP="00150DF6">
            <w:pPr>
              <w:jc w:val="right"/>
              <w:rPr>
                <w:noProof/>
                <w:color w:val="000000"/>
                <w:lang w:val="sr-Cyrl-RS"/>
              </w:rPr>
            </w:pPr>
            <w:r>
              <w:rPr>
                <w:color w:val="000000"/>
              </w:rPr>
              <w:t>7.808.080.000</w:t>
            </w:r>
          </w:p>
        </w:tc>
      </w:tr>
      <w:tr w:rsidR="0090200A" w:rsidRPr="000C0BCB" w14:paraId="59B82736"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2E91ECF" w14:textId="77777777" w:rsidR="0090200A" w:rsidRPr="000C0BCB" w:rsidRDefault="0090200A" w:rsidP="00150DF6">
            <w:pPr>
              <w:rPr>
                <w:noProof/>
                <w:lang w:val="sr-Cyrl-RS"/>
              </w:rPr>
            </w:pPr>
            <w:r w:rsidRPr="000C0BCB">
              <w:rPr>
                <w:noProof/>
                <w:color w:val="000000"/>
                <w:lang w:val="sr-Cyrl-RS"/>
              </w:rPr>
              <w:t>1.9.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44FC6C3" w14:textId="77777777" w:rsidR="0090200A" w:rsidRPr="000C0BCB" w:rsidRDefault="0090200A" w:rsidP="00150DF6">
            <w:pPr>
              <w:jc w:val="center"/>
              <w:rPr>
                <w:noProof/>
                <w:lang w:val="sr-Cyrl-RS"/>
              </w:rPr>
            </w:pPr>
            <w:r w:rsidRPr="000C0BCB">
              <w:rPr>
                <w:noProof/>
                <w:color w:val="000000"/>
                <w:lang w:val="sr-Cyrl-RS"/>
              </w:rPr>
              <w:t>465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88FF55" w14:textId="77777777" w:rsidR="0090200A" w:rsidRPr="000C0BCB" w:rsidRDefault="0090200A" w:rsidP="00150DF6">
            <w:pPr>
              <w:jc w:val="right"/>
              <w:rPr>
                <w:noProof/>
                <w:color w:val="000000"/>
                <w:lang w:val="sr-Cyrl-RS"/>
              </w:rPr>
            </w:pPr>
            <w:r>
              <w:rPr>
                <w:color w:val="000000"/>
              </w:rPr>
              <w:t>3.551.313.000</w:t>
            </w:r>
          </w:p>
        </w:tc>
      </w:tr>
      <w:tr w:rsidR="0090200A" w:rsidRPr="000C0BCB" w14:paraId="6CC4A9C6"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8C51976" w14:textId="77777777" w:rsidR="0090200A" w:rsidRPr="000C0BCB" w:rsidRDefault="0090200A" w:rsidP="00150DF6">
            <w:pPr>
              <w:rPr>
                <w:noProof/>
                <w:lang w:val="sr-Cyrl-RS"/>
              </w:rPr>
            </w:pPr>
            <w:r w:rsidRPr="000C0BCB">
              <w:rPr>
                <w:noProof/>
                <w:color w:val="000000"/>
                <w:lang w:val="sr-Cyrl-RS"/>
              </w:rPr>
              <w:t>1.10.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6E8B5A" w14:textId="77777777" w:rsidR="0090200A" w:rsidRPr="000C0BCB" w:rsidRDefault="0090200A" w:rsidP="00150DF6">
            <w:pPr>
              <w:jc w:val="center"/>
              <w:rPr>
                <w:noProof/>
                <w:lang w:val="sr-Cyrl-RS"/>
              </w:rPr>
            </w:pPr>
            <w:r w:rsidRPr="000C0BCB">
              <w:rPr>
                <w:noProof/>
                <w:color w:val="000000"/>
                <w:lang w:val="sr-Cyrl-RS"/>
              </w:rPr>
              <w:t>47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E4BA1D" w14:textId="77777777" w:rsidR="0090200A" w:rsidRPr="000C0BCB" w:rsidRDefault="0090200A" w:rsidP="00150DF6">
            <w:pPr>
              <w:jc w:val="right"/>
              <w:rPr>
                <w:noProof/>
                <w:color w:val="000000"/>
                <w:lang w:val="sr-Cyrl-RS"/>
              </w:rPr>
            </w:pPr>
            <w:r>
              <w:rPr>
                <w:color w:val="000000"/>
              </w:rPr>
              <w:t>197.403.415.000</w:t>
            </w:r>
          </w:p>
        </w:tc>
      </w:tr>
      <w:tr w:rsidR="0090200A" w:rsidRPr="000C0BCB" w14:paraId="11370320"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FB1F675" w14:textId="77777777" w:rsidR="0090200A" w:rsidRPr="000C0BCB" w:rsidRDefault="0090200A" w:rsidP="00150DF6">
            <w:pPr>
              <w:rPr>
                <w:noProof/>
                <w:lang w:val="sr-Cyrl-RS"/>
              </w:rPr>
            </w:pPr>
            <w:r w:rsidRPr="000C0BCB">
              <w:rPr>
                <w:noProof/>
                <w:color w:val="000000"/>
                <w:lang w:val="sr-Cyrl-RS"/>
              </w:rPr>
              <w:t>- Дечја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48C523"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7BFB95C" w14:textId="77777777" w:rsidR="0090200A" w:rsidRPr="000C0BCB" w:rsidRDefault="0090200A" w:rsidP="00150DF6">
            <w:pPr>
              <w:jc w:val="right"/>
              <w:rPr>
                <w:noProof/>
                <w:color w:val="000000"/>
                <w:lang w:val="sr-Cyrl-RS"/>
              </w:rPr>
            </w:pPr>
            <w:r>
              <w:rPr>
                <w:color w:val="000000"/>
              </w:rPr>
              <w:t>125.683.668.000</w:t>
            </w:r>
          </w:p>
        </w:tc>
      </w:tr>
      <w:tr w:rsidR="0090200A" w:rsidRPr="000C0BCB" w14:paraId="03AB59AB"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67F8A1E" w14:textId="77777777" w:rsidR="0090200A" w:rsidRPr="000C0BCB" w:rsidRDefault="0090200A" w:rsidP="00150DF6">
            <w:pPr>
              <w:rPr>
                <w:noProof/>
                <w:lang w:val="sr-Cyrl-RS"/>
              </w:rPr>
            </w:pPr>
            <w:r w:rsidRPr="000C0BCB">
              <w:rPr>
                <w:noProof/>
                <w:color w:val="000000"/>
                <w:lang w:val="sr-Cyrl-RS"/>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E249CF"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5366AC8" w14:textId="77777777" w:rsidR="0090200A" w:rsidRPr="000C0BCB" w:rsidRDefault="0090200A" w:rsidP="00150DF6">
            <w:pPr>
              <w:jc w:val="right"/>
              <w:rPr>
                <w:noProof/>
                <w:color w:val="000000"/>
                <w:lang w:val="sr-Cyrl-RS"/>
              </w:rPr>
            </w:pPr>
            <w:r>
              <w:rPr>
                <w:color w:val="000000"/>
              </w:rPr>
              <w:t>21.673.600.000</w:t>
            </w:r>
          </w:p>
        </w:tc>
      </w:tr>
      <w:tr w:rsidR="0090200A" w:rsidRPr="000C0BCB" w14:paraId="0EED6FEC"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F9BB4E2" w14:textId="77777777" w:rsidR="0090200A" w:rsidRPr="000C0BCB" w:rsidRDefault="0090200A" w:rsidP="00150DF6">
            <w:pPr>
              <w:rPr>
                <w:noProof/>
                <w:lang w:val="sr-Cyrl-RS"/>
              </w:rPr>
            </w:pPr>
            <w:r w:rsidRPr="000C0BCB">
              <w:rPr>
                <w:noProof/>
                <w:color w:val="000000"/>
                <w:lang w:val="sr-Cyrl-RS"/>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77320B"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C7B812" w14:textId="77777777" w:rsidR="0090200A" w:rsidRPr="000C0BCB" w:rsidRDefault="0090200A" w:rsidP="00150DF6">
            <w:pPr>
              <w:jc w:val="right"/>
              <w:rPr>
                <w:noProof/>
                <w:color w:val="000000"/>
                <w:lang w:val="sr-Cyrl-RS"/>
              </w:rPr>
            </w:pPr>
            <w:r>
              <w:rPr>
                <w:color w:val="000000"/>
              </w:rPr>
              <w:t>40.276.943.000</w:t>
            </w:r>
          </w:p>
        </w:tc>
      </w:tr>
      <w:tr w:rsidR="0090200A" w:rsidRPr="000C0BCB" w14:paraId="24E7D7DE"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5EB5AFE" w14:textId="77777777" w:rsidR="0090200A" w:rsidRPr="000C0BCB" w:rsidRDefault="0090200A" w:rsidP="00150DF6">
            <w:pPr>
              <w:rPr>
                <w:noProof/>
                <w:lang w:val="sr-Cyrl-RS"/>
              </w:rPr>
            </w:pPr>
            <w:r w:rsidRPr="000C0BCB">
              <w:rPr>
                <w:noProof/>
                <w:color w:val="000000"/>
                <w:lang w:val="sr-Cyrl-RS"/>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10EAD32"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1738B8" w14:textId="77777777" w:rsidR="0090200A" w:rsidRPr="000C0BCB" w:rsidRDefault="0090200A" w:rsidP="00150DF6">
            <w:pPr>
              <w:jc w:val="right"/>
              <w:rPr>
                <w:noProof/>
                <w:color w:val="000000"/>
                <w:lang w:val="sr-Cyrl-RS"/>
              </w:rPr>
            </w:pPr>
            <w:r>
              <w:rPr>
                <w:color w:val="000000"/>
              </w:rPr>
              <w:t>150.000.000</w:t>
            </w:r>
          </w:p>
        </w:tc>
      </w:tr>
      <w:tr w:rsidR="0090200A" w:rsidRPr="000C0BCB" w14:paraId="77E888E6"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D511E23" w14:textId="77777777" w:rsidR="0090200A" w:rsidRPr="000C0BCB" w:rsidRDefault="0090200A" w:rsidP="00150DF6">
            <w:pPr>
              <w:rPr>
                <w:noProof/>
                <w:lang w:val="sr-Cyrl-RS"/>
              </w:rPr>
            </w:pPr>
            <w:r w:rsidRPr="000C0BCB">
              <w:rPr>
                <w:noProof/>
                <w:color w:val="000000"/>
                <w:lang w:val="sr-Cyrl-RS"/>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FE1149"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CE9FF00" w14:textId="77777777" w:rsidR="0090200A" w:rsidRPr="000C0BCB" w:rsidRDefault="0090200A" w:rsidP="00150DF6">
            <w:pPr>
              <w:jc w:val="right"/>
              <w:rPr>
                <w:noProof/>
                <w:color w:val="000000"/>
                <w:lang w:val="sr-Cyrl-RS"/>
              </w:rPr>
            </w:pPr>
            <w:r>
              <w:rPr>
                <w:color w:val="000000"/>
              </w:rPr>
              <w:t>1.047.015.000</w:t>
            </w:r>
          </w:p>
        </w:tc>
      </w:tr>
      <w:tr w:rsidR="0090200A" w:rsidRPr="000C0BCB" w14:paraId="572A9786"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ED8E0F5" w14:textId="77777777" w:rsidR="0090200A" w:rsidRPr="000C0BCB" w:rsidRDefault="0090200A" w:rsidP="00150DF6">
            <w:pPr>
              <w:rPr>
                <w:noProof/>
                <w:lang w:val="sr-Cyrl-RS"/>
              </w:rPr>
            </w:pPr>
            <w:r w:rsidRPr="000C0BCB">
              <w:rPr>
                <w:noProof/>
                <w:color w:val="000000"/>
                <w:lang w:val="sr-Cyrl-RS"/>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3AE527"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75F450" w14:textId="77777777" w:rsidR="0090200A" w:rsidRPr="000C0BCB" w:rsidRDefault="0090200A" w:rsidP="00150DF6">
            <w:pPr>
              <w:jc w:val="right"/>
              <w:rPr>
                <w:noProof/>
                <w:color w:val="000000"/>
                <w:lang w:val="sr-Cyrl-RS"/>
              </w:rPr>
            </w:pPr>
            <w:r>
              <w:rPr>
                <w:color w:val="000000"/>
              </w:rPr>
              <w:t>1.515.635.000</w:t>
            </w:r>
          </w:p>
        </w:tc>
      </w:tr>
      <w:tr w:rsidR="0090200A" w:rsidRPr="000C0BCB" w14:paraId="3DD6F53F"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803D031" w14:textId="77777777" w:rsidR="0090200A" w:rsidRPr="000C0BCB" w:rsidRDefault="0090200A" w:rsidP="00150DF6">
            <w:pPr>
              <w:rPr>
                <w:noProof/>
                <w:lang w:val="sr-Cyrl-RS"/>
              </w:rPr>
            </w:pPr>
            <w:r w:rsidRPr="000C0BCB">
              <w:rPr>
                <w:noProof/>
                <w:color w:val="000000"/>
                <w:lang w:val="sr-Cyrl-RS"/>
              </w:rPr>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56997A"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4AC792" w14:textId="77777777" w:rsidR="0090200A" w:rsidRPr="000C0BCB" w:rsidRDefault="0090200A" w:rsidP="00150DF6">
            <w:pPr>
              <w:jc w:val="right"/>
              <w:rPr>
                <w:noProof/>
                <w:color w:val="000000"/>
                <w:lang w:val="sr-Cyrl-RS"/>
              </w:rPr>
            </w:pPr>
            <w:r>
              <w:rPr>
                <w:color w:val="000000"/>
              </w:rPr>
              <w:t>1.119.140.000</w:t>
            </w:r>
          </w:p>
        </w:tc>
      </w:tr>
      <w:tr w:rsidR="0090200A" w:rsidRPr="000C0BCB" w14:paraId="2565BE58"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A8B371E" w14:textId="77777777" w:rsidR="0090200A" w:rsidRPr="000C0BCB" w:rsidRDefault="0090200A" w:rsidP="00150DF6">
            <w:pPr>
              <w:rPr>
                <w:noProof/>
                <w:lang w:val="sr-Cyrl-RS"/>
              </w:rPr>
            </w:pPr>
            <w:r w:rsidRPr="000C0BCB">
              <w:rPr>
                <w:noProof/>
                <w:color w:val="000000"/>
                <w:lang w:val="sr-Cyrl-RS"/>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CE73CE"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3D940F" w14:textId="77777777" w:rsidR="0090200A" w:rsidRPr="000C0BCB" w:rsidRDefault="0090200A" w:rsidP="00150DF6">
            <w:pPr>
              <w:jc w:val="right"/>
              <w:rPr>
                <w:noProof/>
                <w:color w:val="000000"/>
                <w:lang w:val="sr-Cyrl-RS"/>
              </w:rPr>
            </w:pPr>
            <w:r>
              <w:rPr>
                <w:color w:val="000000"/>
              </w:rPr>
              <w:t>1.965.000.000</w:t>
            </w:r>
          </w:p>
        </w:tc>
      </w:tr>
      <w:tr w:rsidR="0090200A" w:rsidRPr="000C0BCB" w14:paraId="314B4AB8"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B4406F7" w14:textId="77777777" w:rsidR="0090200A" w:rsidRPr="000C0BCB" w:rsidRDefault="0090200A" w:rsidP="00150DF6">
            <w:pPr>
              <w:rPr>
                <w:noProof/>
                <w:lang w:val="sr-Cyrl-RS"/>
              </w:rPr>
            </w:pPr>
            <w:r w:rsidRPr="000C0BCB">
              <w:rPr>
                <w:noProof/>
                <w:color w:val="000000"/>
                <w:lang w:val="sr-Cyrl-RS"/>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BCC1923"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ECFA4E" w14:textId="77777777" w:rsidR="0090200A" w:rsidRPr="000C0BCB" w:rsidRDefault="0090200A" w:rsidP="00150DF6">
            <w:pPr>
              <w:jc w:val="right"/>
              <w:rPr>
                <w:noProof/>
                <w:color w:val="000000"/>
                <w:lang w:val="sr-Cyrl-RS"/>
              </w:rPr>
            </w:pPr>
            <w:r>
              <w:rPr>
                <w:color w:val="000000"/>
              </w:rPr>
              <w:t>456.952.000</w:t>
            </w:r>
          </w:p>
        </w:tc>
      </w:tr>
      <w:tr w:rsidR="0090200A" w:rsidRPr="000C0BCB" w14:paraId="7CACA588"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07E3A27" w14:textId="77777777" w:rsidR="0090200A" w:rsidRPr="000C0BCB" w:rsidRDefault="0090200A" w:rsidP="00150DF6">
            <w:pPr>
              <w:rPr>
                <w:noProof/>
                <w:lang w:val="sr-Cyrl-RS"/>
              </w:rPr>
            </w:pPr>
            <w:r w:rsidRPr="000C0BCB">
              <w:rPr>
                <w:noProof/>
                <w:color w:val="000000"/>
                <w:lang w:val="sr-Cyrl-RS"/>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89C4AE" w14:textId="77777777" w:rsidR="0090200A" w:rsidRPr="000C0BCB" w:rsidRDefault="0090200A" w:rsidP="00150DF6">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4B313C" w14:textId="77777777" w:rsidR="0090200A" w:rsidRPr="000C0BCB" w:rsidRDefault="0090200A" w:rsidP="00150DF6">
            <w:pPr>
              <w:jc w:val="right"/>
              <w:rPr>
                <w:noProof/>
                <w:color w:val="000000"/>
                <w:lang w:val="sr-Cyrl-RS"/>
              </w:rPr>
            </w:pPr>
            <w:r>
              <w:rPr>
                <w:color w:val="000000"/>
              </w:rPr>
              <w:t>3.515.462.000</w:t>
            </w:r>
          </w:p>
        </w:tc>
      </w:tr>
      <w:tr w:rsidR="0090200A" w:rsidRPr="000C0BCB" w14:paraId="397B38FB"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6575157" w14:textId="77777777" w:rsidR="0090200A" w:rsidRPr="000C0BCB" w:rsidRDefault="0090200A" w:rsidP="00150DF6">
            <w:pPr>
              <w:rPr>
                <w:noProof/>
                <w:lang w:val="sr-Cyrl-RS"/>
              </w:rPr>
            </w:pPr>
            <w:r w:rsidRPr="000C0BCB">
              <w:rPr>
                <w:noProof/>
                <w:color w:val="000000"/>
                <w:lang w:val="sr-Cyrl-RS"/>
              </w:rPr>
              <w:t>1.11.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D81EB1" w14:textId="77777777" w:rsidR="0090200A" w:rsidRPr="000C0BCB" w:rsidRDefault="0090200A" w:rsidP="00150DF6">
            <w:pPr>
              <w:jc w:val="center"/>
              <w:rPr>
                <w:noProof/>
                <w:lang w:val="sr-Cyrl-RS"/>
              </w:rPr>
            </w:pPr>
            <w:r w:rsidRPr="000C0BCB">
              <w:rPr>
                <w:noProof/>
                <w:color w:val="000000"/>
                <w:lang w:val="sr-Cyrl-RS"/>
              </w:rPr>
              <w:t>43, 48 и 49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41E4CF6" w14:textId="77777777" w:rsidR="0090200A" w:rsidRPr="000C0BCB" w:rsidRDefault="0090200A" w:rsidP="00150DF6">
            <w:pPr>
              <w:jc w:val="right"/>
              <w:rPr>
                <w:noProof/>
                <w:color w:val="000000"/>
                <w:lang w:val="sr-Cyrl-RS"/>
              </w:rPr>
            </w:pPr>
            <w:r>
              <w:rPr>
                <w:color w:val="000000"/>
              </w:rPr>
              <w:t>53.725.707.000</w:t>
            </w:r>
          </w:p>
        </w:tc>
      </w:tr>
      <w:tr w:rsidR="0090200A" w:rsidRPr="000C0BCB" w14:paraId="15B71CD2"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745D731" w14:textId="77777777" w:rsidR="0090200A" w:rsidRPr="000C0BCB" w:rsidRDefault="0090200A" w:rsidP="00150DF6">
            <w:pPr>
              <w:rPr>
                <w:noProof/>
                <w:lang w:val="sr-Cyrl-RS"/>
              </w:rPr>
            </w:pPr>
            <w:r w:rsidRPr="000C0BCB">
              <w:rPr>
                <w:noProof/>
                <w:color w:val="000000"/>
                <w:lang w:val="sr-Cyrl-RS"/>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D5D3CC1" w14:textId="77777777" w:rsidR="0090200A" w:rsidRPr="000C0BCB" w:rsidRDefault="0090200A" w:rsidP="00150DF6">
            <w:pPr>
              <w:jc w:val="center"/>
              <w:rPr>
                <w:noProof/>
                <w:lang w:val="sr-Cyrl-RS"/>
              </w:rPr>
            </w:pPr>
            <w:r w:rsidRPr="000C0BCB">
              <w:rPr>
                <w:noProof/>
                <w:color w:val="000000"/>
                <w:lang w:val="sr-Cyrl-RS"/>
              </w:rPr>
              <w:t>499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F09CAA" w14:textId="77777777" w:rsidR="0090200A" w:rsidRPr="000C0BCB" w:rsidRDefault="0090200A" w:rsidP="00150DF6">
            <w:pPr>
              <w:jc w:val="right"/>
              <w:rPr>
                <w:noProof/>
                <w:color w:val="000000"/>
                <w:lang w:val="sr-Cyrl-RS"/>
              </w:rPr>
            </w:pPr>
            <w:r>
              <w:rPr>
                <w:color w:val="000000"/>
              </w:rPr>
              <w:t>5.002.000.000</w:t>
            </w:r>
          </w:p>
        </w:tc>
      </w:tr>
      <w:tr w:rsidR="0090200A" w:rsidRPr="000C0BCB" w14:paraId="2C39A385"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CD96FD1" w14:textId="77777777" w:rsidR="0090200A" w:rsidRPr="000C0BCB" w:rsidRDefault="0090200A" w:rsidP="00150DF6">
            <w:pPr>
              <w:rPr>
                <w:noProof/>
                <w:lang w:val="sr-Cyrl-RS"/>
              </w:rPr>
            </w:pPr>
            <w:r w:rsidRPr="000C0BCB">
              <w:rPr>
                <w:noProof/>
                <w:color w:val="000000"/>
                <w:lang w:val="sr-Cyrl-RS"/>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A3825D" w14:textId="77777777" w:rsidR="0090200A" w:rsidRPr="000C0BCB" w:rsidRDefault="0090200A" w:rsidP="00150DF6">
            <w:pPr>
              <w:jc w:val="center"/>
              <w:rPr>
                <w:noProof/>
                <w:lang w:val="sr-Cyrl-RS"/>
              </w:rPr>
            </w:pPr>
            <w:r w:rsidRPr="000C0BCB">
              <w:rPr>
                <w:noProof/>
                <w:color w:val="000000"/>
                <w:lang w:val="sr-Cyrl-RS"/>
              </w:rPr>
              <w:t>43 и 48</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CCF0AC" w14:textId="77777777" w:rsidR="0090200A" w:rsidRPr="000C0BCB" w:rsidRDefault="0090200A" w:rsidP="00150DF6">
            <w:pPr>
              <w:jc w:val="right"/>
              <w:rPr>
                <w:noProof/>
                <w:color w:val="000000"/>
                <w:lang w:val="sr-Cyrl-RS"/>
              </w:rPr>
            </w:pPr>
            <w:r>
              <w:rPr>
                <w:color w:val="000000"/>
              </w:rPr>
              <w:t>48.723.707.000</w:t>
            </w:r>
          </w:p>
        </w:tc>
      </w:tr>
      <w:tr w:rsidR="0090200A" w:rsidRPr="000C0BCB" w14:paraId="7E81B0CC"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3A42DF29" w14:textId="77777777" w:rsidR="0090200A" w:rsidRPr="000C0BCB" w:rsidRDefault="0090200A" w:rsidP="00150DF6">
            <w:pPr>
              <w:rPr>
                <w:noProof/>
                <w:lang w:val="sr-Cyrl-RS"/>
              </w:rPr>
            </w:pPr>
            <w:r w:rsidRPr="000C0BCB">
              <w:rPr>
                <w:noProof/>
                <w:color w:val="000000"/>
                <w:lang w:val="sr-Cyrl-RS"/>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780A6D" w14:textId="77777777" w:rsidR="0090200A" w:rsidRPr="000C0BCB" w:rsidRDefault="0090200A" w:rsidP="00150DF6">
            <w:pPr>
              <w:jc w:val="center"/>
              <w:rPr>
                <w:noProof/>
                <w:lang w:val="sr-Cyrl-RS"/>
              </w:rPr>
            </w:pPr>
            <w:r w:rsidRPr="000C0BCB">
              <w:rPr>
                <w:noProof/>
                <w:color w:val="000000"/>
                <w:lang w:val="sr-Cyrl-RS"/>
              </w:rPr>
              <w:t>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234CBF8" w14:textId="77777777" w:rsidR="0090200A" w:rsidRPr="000C0BCB" w:rsidRDefault="0090200A" w:rsidP="00150DF6">
            <w:pPr>
              <w:jc w:val="right"/>
              <w:rPr>
                <w:noProof/>
                <w:color w:val="000000"/>
                <w:lang w:val="sr-Cyrl-RS"/>
              </w:rPr>
            </w:pPr>
            <w:r>
              <w:rPr>
                <w:color w:val="000000"/>
              </w:rPr>
              <w:t>612.585.102.000</w:t>
            </w:r>
          </w:p>
        </w:tc>
      </w:tr>
      <w:tr w:rsidR="0090200A" w:rsidRPr="000C0BCB" w14:paraId="17070586"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50687BCB" w14:textId="77777777" w:rsidR="0090200A" w:rsidRPr="000C0BCB" w:rsidRDefault="0090200A" w:rsidP="00150DF6">
            <w:pPr>
              <w:rPr>
                <w:noProof/>
                <w:lang w:val="sr-Cyrl-RS"/>
              </w:rPr>
            </w:pPr>
            <w:r w:rsidRPr="000C0BCB">
              <w:rPr>
                <w:noProof/>
                <w:color w:val="000000"/>
                <w:lang w:val="sr-Cyrl-RS"/>
              </w:rPr>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61F3FC" w14:textId="77777777" w:rsidR="0090200A" w:rsidRPr="000C0BCB" w:rsidRDefault="0090200A" w:rsidP="00150DF6">
            <w:pPr>
              <w:jc w:val="center"/>
              <w:rPr>
                <w:noProof/>
                <w:lang w:val="sr-Cyrl-RS"/>
              </w:rPr>
            </w:pPr>
            <w:r w:rsidRPr="000C0BCB">
              <w:rPr>
                <w:noProof/>
                <w:color w:val="000000"/>
                <w:lang w:val="sr-Cyrl-RS"/>
              </w:rPr>
              <w:t>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D9F132" w14:textId="77777777" w:rsidR="0090200A" w:rsidRPr="000C0BCB" w:rsidRDefault="0090200A" w:rsidP="00150DF6">
            <w:pPr>
              <w:jc w:val="right"/>
              <w:rPr>
                <w:noProof/>
                <w:color w:val="000000"/>
                <w:lang w:val="sr-Cyrl-RS"/>
              </w:rPr>
            </w:pPr>
            <w:r>
              <w:rPr>
                <w:color w:val="000000"/>
              </w:rPr>
              <w:t>22.054.000.000</w:t>
            </w:r>
          </w:p>
        </w:tc>
      </w:tr>
      <w:tr w:rsidR="0090200A" w:rsidRPr="000C0BCB" w14:paraId="2BB219DD" w14:textId="77777777" w:rsidTr="00150DF6">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036BB0FD" w14:textId="77777777" w:rsidR="0090200A" w:rsidRPr="000C0BCB" w:rsidRDefault="0090200A" w:rsidP="00150DF6">
            <w:pPr>
              <w:rPr>
                <w:noProof/>
                <w:lang w:val="sr-Cyrl-RS"/>
              </w:rPr>
            </w:pPr>
            <w:r w:rsidRPr="000C0BCB">
              <w:rPr>
                <w:noProof/>
                <w:color w:val="000000"/>
                <w:lang w:val="sr-Cyrl-RS"/>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5717C14" w14:textId="77777777" w:rsidR="0090200A" w:rsidRPr="000C0BCB" w:rsidRDefault="0090200A" w:rsidP="00150DF6">
            <w:pPr>
              <w:jc w:val="center"/>
              <w:rPr>
                <w:noProof/>
                <w:lang w:val="sr-Cyrl-RS"/>
              </w:rPr>
            </w:pPr>
            <w:r w:rsidRPr="000C0BCB">
              <w:rPr>
                <w:noProof/>
                <w:color w:val="000000"/>
                <w:lang w:val="sr-Cyrl-RS"/>
              </w:rPr>
              <w:t>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DB1DE82" w14:textId="77777777" w:rsidR="0090200A" w:rsidRPr="000C0BCB" w:rsidRDefault="0090200A" w:rsidP="00150DF6">
            <w:pPr>
              <w:jc w:val="right"/>
              <w:rPr>
                <w:noProof/>
                <w:color w:val="000000"/>
                <w:lang w:val="sr-Cyrl-RS"/>
              </w:rPr>
            </w:pPr>
            <w:r>
              <w:rPr>
                <w:color w:val="000000"/>
              </w:rPr>
              <w:t>23.453.209.000</w:t>
            </w:r>
          </w:p>
        </w:tc>
      </w:tr>
    </w:tbl>
    <w:p w14:paraId="5FBBEC77" w14:textId="77777777" w:rsidR="009A129D" w:rsidRPr="009A129D" w:rsidRDefault="009A129D" w:rsidP="002201E2">
      <w:pPr>
        <w:tabs>
          <w:tab w:val="left" w:pos="720"/>
        </w:tabs>
        <w:spacing w:after="120"/>
        <w:rPr>
          <w:rFonts w:ascii="Times New Roman" w:hAnsi="Times New Roman"/>
          <w:szCs w:val="24"/>
          <w:lang w:val="sr-Latn-RS"/>
        </w:rPr>
      </w:pPr>
    </w:p>
    <w:p w14:paraId="35F98484" w14:textId="7E9434F5" w:rsidR="00AC18C4" w:rsidRPr="00E00086" w:rsidRDefault="009260FB" w:rsidP="002201E2">
      <w:pPr>
        <w:tabs>
          <w:tab w:val="left" w:pos="720"/>
        </w:tabs>
        <w:spacing w:after="120"/>
        <w:rPr>
          <w:rFonts w:ascii="Times New Roman" w:hAnsi="Times New Roman"/>
          <w:bCs/>
          <w:szCs w:val="24"/>
          <w:lang w:val="sr-Cyrl-RS"/>
        </w:rPr>
      </w:pPr>
      <w:r w:rsidRPr="00E00086">
        <w:rPr>
          <w:rFonts w:ascii="Times New Roman" w:hAnsi="Times New Roman"/>
          <w:szCs w:val="24"/>
          <w:lang w:val="sr-Cyrl-RS"/>
        </w:rPr>
        <w:tab/>
      </w:r>
      <w:r w:rsidR="0049556C" w:rsidRPr="00E00086">
        <w:rPr>
          <w:rFonts w:ascii="Times New Roman" w:hAnsi="Times New Roman"/>
          <w:bCs/>
          <w:szCs w:val="24"/>
          <w:lang w:val="sr-Cyrl-RS"/>
        </w:rPr>
        <w:t>Буџетом Републике Србије за 202</w:t>
      </w:r>
      <w:r w:rsidR="00527DD4" w:rsidRPr="00E00086">
        <w:rPr>
          <w:rFonts w:ascii="Times New Roman" w:hAnsi="Times New Roman"/>
          <w:bCs/>
          <w:szCs w:val="24"/>
          <w:lang w:val="sr-Cyrl-RS"/>
        </w:rPr>
        <w:t>5</w:t>
      </w:r>
      <w:r w:rsidR="0049556C" w:rsidRPr="00E00086">
        <w:rPr>
          <w:rFonts w:ascii="Times New Roman" w:hAnsi="Times New Roman"/>
          <w:bCs/>
          <w:szCs w:val="24"/>
          <w:lang w:val="sr-Cyrl-RS"/>
        </w:rPr>
        <w:t xml:space="preserve">. годину, планирани су укупни расходи и издаци у износу од </w:t>
      </w:r>
      <w:r w:rsidR="00593CBA" w:rsidRPr="00E00086">
        <w:rPr>
          <w:rFonts w:ascii="Times New Roman" w:hAnsi="Times New Roman"/>
          <w:bCs/>
          <w:szCs w:val="24"/>
          <w:lang w:val="sr-Cyrl-RS"/>
        </w:rPr>
        <w:t>2.</w:t>
      </w:r>
      <w:r w:rsidR="001F6F9F" w:rsidRPr="00E00086">
        <w:rPr>
          <w:rFonts w:ascii="Times New Roman" w:hAnsi="Times New Roman"/>
          <w:bCs/>
          <w:szCs w:val="24"/>
          <w:lang w:val="sr-Cyrl-RS"/>
        </w:rPr>
        <w:t>660,20</w:t>
      </w:r>
      <w:r w:rsidR="0049556C" w:rsidRPr="00E00086">
        <w:rPr>
          <w:rFonts w:ascii="Times New Roman" w:hAnsi="Times New Roman"/>
          <w:bCs/>
          <w:szCs w:val="24"/>
          <w:lang w:val="sr-Cyrl-RS"/>
        </w:rPr>
        <w:t xml:space="preserve"> млрд динара</w:t>
      </w:r>
      <w:r w:rsidR="000027E8" w:rsidRPr="00E00086">
        <w:rPr>
          <w:rFonts w:ascii="Times New Roman" w:hAnsi="Times New Roman"/>
          <w:bCs/>
          <w:szCs w:val="24"/>
          <w:lang w:val="sr-Cyrl-RS"/>
        </w:rPr>
        <w:t>.</w:t>
      </w:r>
    </w:p>
    <w:tbl>
      <w:tblPr>
        <w:tblW w:w="5118" w:type="pct"/>
        <w:tblLook w:val="04A0" w:firstRow="1" w:lastRow="0" w:firstColumn="1" w:lastColumn="0" w:noHBand="0" w:noVBand="1"/>
      </w:tblPr>
      <w:tblGrid>
        <w:gridCol w:w="4405"/>
        <w:gridCol w:w="1044"/>
        <w:gridCol w:w="916"/>
        <w:gridCol w:w="841"/>
        <w:gridCol w:w="1195"/>
        <w:gridCol w:w="1195"/>
      </w:tblGrid>
      <w:tr w:rsidR="0070377F" w:rsidRPr="007B24CA" w14:paraId="3A8282B8" w14:textId="77777777" w:rsidTr="00150DF6">
        <w:trPr>
          <w:trHeight w:val="1035"/>
        </w:trPr>
        <w:tc>
          <w:tcPr>
            <w:tcW w:w="2206" w:type="pct"/>
            <w:tcBorders>
              <w:top w:val="single" w:sz="8" w:space="0" w:color="000000"/>
              <w:left w:val="single" w:sz="8" w:space="0" w:color="000000"/>
              <w:bottom w:val="single" w:sz="8" w:space="0" w:color="000000"/>
              <w:right w:val="single" w:sz="8" w:space="0" w:color="000000"/>
            </w:tcBorders>
            <w:shd w:val="clear" w:color="000000" w:fill="C5D9F1"/>
            <w:vAlign w:val="center"/>
            <w:hideMark/>
          </w:tcPr>
          <w:p w14:paraId="381C6E18" w14:textId="77777777" w:rsidR="0070377F" w:rsidRPr="007B24CA" w:rsidRDefault="0070377F" w:rsidP="00150DF6">
            <w:pPr>
              <w:jc w:val="center"/>
              <w:rPr>
                <w:rFonts w:ascii="Times New Roman" w:hAnsi="Times New Roman"/>
                <w:b/>
                <w:bCs/>
                <w:color w:val="000000"/>
                <w:sz w:val="20"/>
              </w:rPr>
            </w:pPr>
            <w:r w:rsidRPr="007B24CA">
              <w:rPr>
                <w:rFonts w:ascii="Times New Roman" w:hAnsi="Times New Roman"/>
                <w:b/>
                <w:bCs/>
                <w:color w:val="000000"/>
                <w:sz w:val="20"/>
              </w:rPr>
              <w:lastRenderedPageBreak/>
              <w:t>ОПИС</w:t>
            </w:r>
          </w:p>
        </w:tc>
        <w:tc>
          <w:tcPr>
            <w:tcW w:w="539" w:type="pct"/>
            <w:tcBorders>
              <w:top w:val="single" w:sz="8" w:space="0" w:color="000000"/>
              <w:left w:val="nil"/>
              <w:bottom w:val="single" w:sz="8" w:space="0" w:color="000000"/>
              <w:right w:val="single" w:sz="8" w:space="0" w:color="000000"/>
            </w:tcBorders>
            <w:shd w:val="clear" w:color="000000" w:fill="C5D9F1"/>
            <w:vAlign w:val="center"/>
            <w:hideMark/>
          </w:tcPr>
          <w:p w14:paraId="35B861E4" w14:textId="77777777" w:rsidR="0070377F" w:rsidRPr="007B24CA" w:rsidRDefault="0070377F" w:rsidP="00150DF6">
            <w:pPr>
              <w:jc w:val="center"/>
              <w:rPr>
                <w:rFonts w:ascii="Times New Roman" w:hAnsi="Times New Roman"/>
                <w:b/>
                <w:bCs/>
                <w:color w:val="000000"/>
                <w:sz w:val="20"/>
              </w:rPr>
            </w:pPr>
            <w:r w:rsidRPr="007B24CA">
              <w:rPr>
                <w:rFonts w:ascii="Times New Roman" w:hAnsi="Times New Roman"/>
                <w:b/>
                <w:bCs/>
                <w:color w:val="000000"/>
                <w:sz w:val="20"/>
              </w:rPr>
              <w:t>Ребаланс 2024</w:t>
            </w:r>
          </w:p>
        </w:tc>
        <w:tc>
          <w:tcPr>
            <w:tcW w:w="590" w:type="pct"/>
            <w:tcBorders>
              <w:top w:val="single" w:sz="8" w:space="0" w:color="000000"/>
              <w:left w:val="nil"/>
              <w:bottom w:val="single" w:sz="8" w:space="0" w:color="000000"/>
              <w:right w:val="single" w:sz="8" w:space="0" w:color="000000"/>
            </w:tcBorders>
            <w:shd w:val="clear" w:color="000000" w:fill="C5D9F1"/>
            <w:vAlign w:val="center"/>
            <w:hideMark/>
          </w:tcPr>
          <w:p w14:paraId="7D903321" w14:textId="77777777" w:rsidR="0070377F" w:rsidRPr="007B24CA" w:rsidRDefault="0070377F" w:rsidP="00150DF6">
            <w:pPr>
              <w:jc w:val="center"/>
              <w:rPr>
                <w:rFonts w:ascii="Times New Roman" w:hAnsi="Times New Roman"/>
                <w:b/>
                <w:bCs/>
                <w:color w:val="000000"/>
                <w:sz w:val="20"/>
              </w:rPr>
            </w:pPr>
            <w:r w:rsidRPr="007B24CA">
              <w:rPr>
                <w:rFonts w:ascii="Times New Roman" w:hAnsi="Times New Roman"/>
                <w:b/>
                <w:bCs/>
                <w:color w:val="000000"/>
                <w:sz w:val="20"/>
              </w:rPr>
              <w:t>Буџет 2025</w:t>
            </w:r>
          </w:p>
        </w:tc>
        <w:tc>
          <w:tcPr>
            <w:tcW w:w="438" w:type="pct"/>
            <w:tcBorders>
              <w:top w:val="single" w:sz="8" w:space="0" w:color="000000"/>
              <w:left w:val="nil"/>
              <w:bottom w:val="single" w:sz="8" w:space="0" w:color="000000"/>
              <w:right w:val="single" w:sz="8" w:space="0" w:color="000000"/>
            </w:tcBorders>
            <w:shd w:val="clear" w:color="000000" w:fill="C5D9F1"/>
            <w:vAlign w:val="center"/>
            <w:hideMark/>
          </w:tcPr>
          <w:p w14:paraId="200667E2" w14:textId="77777777" w:rsidR="0070377F" w:rsidRPr="007B24CA" w:rsidRDefault="0070377F" w:rsidP="00150DF6">
            <w:pPr>
              <w:jc w:val="center"/>
              <w:rPr>
                <w:rFonts w:ascii="Times New Roman" w:hAnsi="Times New Roman"/>
                <w:b/>
                <w:bCs/>
                <w:color w:val="000000"/>
                <w:sz w:val="20"/>
              </w:rPr>
            </w:pPr>
            <w:r w:rsidRPr="007B24CA">
              <w:rPr>
                <w:rFonts w:ascii="Times New Roman" w:hAnsi="Times New Roman"/>
                <w:b/>
                <w:bCs/>
                <w:color w:val="000000"/>
                <w:sz w:val="20"/>
              </w:rPr>
              <w:t>индекс</w:t>
            </w:r>
          </w:p>
        </w:tc>
        <w:tc>
          <w:tcPr>
            <w:tcW w:w="613" w:type="pct"/>
            <w:tcBorders>
              <w:top w:val="single" w:sz="8" w:space="0" w:color="000000"/>
              <w:left w:val="nil"/>
              <w:bottom w:val="single" w:sz="8" w:space="0" w:color="000000"/>
              <w:right w:val="single" w:sz="8" w:space="0" w:color="000000"/>
            </w:tcBorders>
            <w:shd w:val="clear" w:color="000000" w:fill="C5D9F1"/>
            <w:vAlign w:val="center"/>
            <w:hideMark/>
          </w:tcPr>
          <w:p w14:paraId="30CC1C59" w14:textId="77777777" w:rsidR="0070377F" w:rsidRPr="007B24CA" w:rsidRDefault="0070377F" w:rsidP="00150DF6">
            <w:pPr>
              <w:jc w:val="center"/>
              <w:rPr>
                <w:rFonts w:ascii="Times New Roman" w:hAnsi="Times New Roman"/>
                <w:b/>
                <w:bCs/>
                <w:color w:val="000000"/>
                <w:sz w:val="20"/>
              </w:rPr>
            </w:pPr>
            <w:r w:rsidRPr="007B24CA">
              <w:rPr>
                <w:rFonts w:ascii="Times New Roman" w:hAnsi="Times New Roman"/>
                <w:b/>
                <w:bCs/>
                <w:color w:val="000000"/>
                <w:sz w:val="20"/>
              </w:rPr>
              <w:t>Структура расхода Ребаланс 2024, у %</w:t>
            </w:r>
          </w:p>
        </w:tc>
        <w:tc>
          <w:tcPr>
            <w:tcW w:w="613" w:type="pct"/>
            <w:tcBorders>
              <w:top w:val="single" w:sz="8" w:space="0" w:color="000000"/>
              <w:left w:val="nil"/>
              <w:bottom w:val="single" w:sz="8" w:space="0" w:color="000000"/>
              <w:right w:val="single" w:sz="8" w:space="0" w:color="000000"/>
            </w:tcBorders>
            <w:shd w:val="clear" w:color="000000" w:fill="C5D9F1"/>
            <w:vAlign w:val="center"/>
            <w:hideMark/>
          </w:tcPr>
          <w:p w14:paraId="2168549B" w14:textId="77777777" w:rsidR="0070377F" w:rsidRPr="007B24CA" w:rsidRDefault="0070377F" w:rsidP="00150DF6">
            <w:pPr>
              <w:jc w:val="center"/>
              <w:rPr>
                <w:rFonts w:ascii="Times New Roman" w:hAnsi="Times New Roman"/>
                <w:b/>
                <w:bCs/>
                <w:color w:val="000000"/>
                <w:sz w:val="20"/>
              </w:rPr>
            </w:pPr>
            <w:r w:rsidRPr="007B24CA">
              <w:rPr>
                <w:rFonts w:ascii="Times New Roman" w:hAnsi="Times New Roman"/>
                <w:b/>
                <w:bCs/>
                <w:color w:val="000000"/>
                <w:sz w:val="20"/>
              </w:rPr>
              <w:t>Структура расхода Буџет 2025, у %</w:t>
            </w:r>
          </w:p>
        </w:tc>
      </w:tr>
      <w:tr w:rsidR="0070377F" w:rsidRPr="007B24CA" w14:paraId="42D06EAA"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noWrap/>
            <w:vAlign w:val="center"/>
            <w:hideMark/>
          </w:tcPr>
          <w:p w14:paraId="3BDDA077" w14:textId="77777777" w:rsidR="0070377F" w:rsidRPr="007B24CA" w:rsidRDefault="0070377F" w:rsidP="00150DF6">
            <w:pPr>
              <w:rPr>
                <w:rFonts w:ascii="Times New Roman" w:hAnsi="Times New Roman"/>
                <w:b/>
                <w:bCs/>
                <w:color w:val="000000"/>
                <w:sz w:val="20"/>
              </w:rPr>
            </w:pPr>
            <w:r w:rsidRPr="007B24CA">
              <w:rPr>
                <w:rFonts w:ascii="Times New Roman" w:hAnsi="Times New Roman"/>
                <w:b/>
                <w:bCs/>
                <w:color w:val="000000"/>
                <w:sz w:val="20"/>
              </w:rPr>
              <w:t>УКУПНИ РАСХОДИ И ИЗДАЦИ</w:t>
            </w:r>
          </w:p>
        </w:tc>
        <w:tc>
          <w:tcPr>
            <w:tcW w:w="539" w:type="pct"/>
            <w:tcBorders>
              <w:top w:val="nil"/>
              <w:left w:val="nil"/>
              <w:bottom w:val="single" w:sz="8" w:space="0" w:color="000000"/>
              <w:right w:val="single" w:sz="8" w:space="0" w:color="000000"/>
            </w:tcBorders>
            <w:shd w:val="clear" w:color="auto" w:fill="auto"/>
            <w:noWrap/>
            <w:vAlign w:val="center"/>
            <w:hideMark/>
          </w:tcPr>
          <w:p w14:paraId="4061C3FB"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2.436,35</w:t>
            </w:r>
          </w:p>
        </w:tc>
        <w:tc>
          <w:tcPr>
            <w:tcW w:w="590" w:type="pct"/>
            <w:tcBorders>
              <w:top w:val="nil"/>
              <w:left w:val="nil"/>
              <w:bottom w:val="single" w:sz="8" w:space="0" w:color="000000"/>
              <w:right w:val="single" w:sz="8" w:space="0" w:color="000000"/>
            </w:tcBorders>
            <w:shd w:val="clear" w:color="auto" w:fill="auto"/>
            <w:noWrap/>
            <w:vAlign w:val="center"/>
            <w:hideMark/>
          </w:tcPr>
          <w:p w14:paraId="01A84A5B"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2.660,20</w:t>
            </w:r>
          </w:p>
        </w:tc>
        <w:tc>
          <w:tcPr>
            <w:tcW w:w="438" w:type="pct"/>
            <w:tcBorders>
              <w:top w:val="nil"/>
              <w:left w:val="nil"/>
              <w:bottom w:val="single" w:sz="8" w:space="0" w:color="000000"/>
              <w:right w:val="single" w:sz="8" w:space="0" w:color="000000"/>
            </w:tcBorders>
            <w:shd w:val="clear" w:color="auto" w:fill="auto"/>
            <w:noWrap/>
            <w:vAlign w:val="center"/>
            <w:hideMark/>
          </w:tcPr>
          <w:p w14:paraId="30393431"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109,19</w:t>
            </w:r>
          </w:p>
        </w:tc>
        <w:tc>
          <w:tcPr>
            <w:tcW w:w="613" w:type="pct"/>
            <w:tcBorders>
              <w:top w:val="nil"/>
              <w:left w:val="nil"/>
              <w:bottom w:val="single" w:sz="8" w:space="0" w:color="000000"/>
              <w:right w:val="single" w:sz="8" w:space="0" w:color="000000"/>
            </w:tcBorders>
            <w:shd w:val="clear" w:color="auto" w:fill="auto"/>
            <w:noWrap/>
            <w:vAlign w:val="center"/>
            <w:hideMark/>
          </w:tcPr>
          <w:p w14:paraId="1D93F8F2"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100,00%</w:t>
            </w:r>
          </w:p>
        </w:tc>
        <w:tc>
          <w:tcPr>
            <w:tcW w:w="613" w:type="pct"/>
            <w:tcBorders>
              <w:top w:val="nil"/>
              <w:left w:val="nil"/>
              <w:bottom w:val="single" w:sz="8" w:space="0" w:color="000000"/>
              <w:right w:val="single" w:sz="8" w:space="0" w:color="000000"/>
            </w:tcBorders>
            <w:shd w:val="clear" w:color="auto" w:fill="auto"/>
            <w:noWrap/>
            <w:vAlign w:val="center"/>
            <w:hideMark/>
          </w:tcPr>
          <w:p w14:paraId="50C22348"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100,00%</w:t>
            </w:r>
          </w:p>
        </w:tc>
      </w:tr>
      <w:tr w:rsidR="0070377F" w:rsidRPr="007B24CA" w14:paraId="71A4C58F"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noWrap/>
            <w:vAlign w:val="center"/>
            <w:hideMark/>
          </w:tcPr>
          <w:p w14:paraId="51324853" w14:textId="77777777" w:rsidR="0070377F" w:rsidRPr="007B24CA" w:rsidRDefault="0070377F" w:rsidP="00150DF6">
            <w:pPr>
              <w:rPr>
                <w:rFonts w:ascii="Times New Roman" w:hAnsi="Times New Roman"/>
                <w:b/>
                <w:bCs/>
                <w:color w:val="000000"/>
                <w:sz w:val="20"/>
              </w:rPr>
            </w:pPr>
            <w:r w:rsidRPr="007B24CA">
              <w:rPr>
                <w:rFonts w:ascii="Times New Roman" w:hAnsi="Times New Roman"/>
                <w:b/>
                <w:bCs/>
                <w:color w:val="000000"/>
                <w:sz w:val="20"/>
              </w:rPr>
              <w:t>Текући расходи</w:t>
            </w:r>
          </w:p>
        </w:tc>
        <w:tc>
          <w:tcPr>
            <w:tcW w:w="539" w:type="pct"/>
            <w:tcBorders>
              <w:top w:val="nil"/>
              <w:left w:val="nil"/>
              <w:bottom w:val="single" w:sz="8" w:space="0" w:color="000000"/>
              <w:right w:val="single" w:sz="8" w:space="0" w:color="000000"/>
            </w:tcBorders>
            <w:shd w:val="clear" w:color="auto" w:fill="auto"/>
            <w:noWrap/>
            <w:vAlign w:val="center"/>
            <w:hideMark/>
          </w:tcPr>
          <w:p w14:paraId="110D6675"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1.819,42</w:t>
            </w:r>
          </w:p>
        </w:tc>
        <w:tc>
          <w:tcPr>
            <w:tcW w:w="590" w:type="pct"/>
            <w:tcBorders>
              <w:top w:val="nil"/>
              <w:left w:val="nil"/>
              <w:bottom w:val="single" w:sz="8" w:space="0" w:color="000000"/>
              <w:right w:val="single" w:sz="8" w:space="0" w:color="000000"/>
            </w:tcBorders>
            <w:shd w:val="clear" w:color="auto" w:fill="auto"/>
            <w:noWrap/>
            <w:vAlign w:val="center"/>
            <w:hideMark/>
          </w:tcPr>
          <w:p w14:paraId="4A2042DC"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2.002,11</w:t>
            </w:r>
          </w:p>
        </w:tc>
        <w:tc>
          <w:tcPr>
            <w:tcW w:w="438" w:type="pct"/>
            <w:tcBorders>
              <w:top w:val="nil"/>
              <w:left w:val="nil"/>
              <w:bottom w:val="single" w:sz="8" w:space="0" w:color="000000"/>
              <w:right w:val="single" w:sz="8" w:space="0" w:color="000000"/>
            </w:tcBorders>
            <w:shd w:val="clear" w:color="auto" w:fill="auto"/>
            <w:noWrap/>
            <w:vAlign w:val="center"/>
            <w:hideMark/>
          </w:tcPr>
          <w:p w14:paraId="52B1E024"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110,04</w:t>
            </w:r>
          </w:p>
        </w:tc>
        <w:tc>
          <w:tcPr>
            <w:tcW w:w="613" w:type="pct"/>
            <w:tcBorders>
              <w:top w:val="nil"/>
              <w:left w:val="nil"/>
              <w:bottom w:val="single" w:sz="8" w:space="0" w:color="000000"/>
              <w:right w:val="single" w:sz="8" w:space="0" w:color="000000"/>
            </w:tcBorders>
            <w:shd w:val="clear" w:color="auto" w:fill="auto"/>
            <w:noWrap/>
            <w:vAlign w:val="center"/>
            <w:hideMark/>
          </w:tcPr>
          <w:p w14:paraId="0CF0A657"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74,68%</w:t>
            </w:r>
          </w:p>
        </w:tc>
        <w:tc>
          <w:tcPr>
            <w:tcW w:w="613" w:type="pct"/>
            <w:tcBorders>
              <w:top w:val="nil"/>
              <w:left w:val="nil"/>
              <w:bottom w:val="single" w:sz="8" w:space="0" w:color="000000"/>
              <w:right w:val="single" w:sz="8" w:space="0" w:color="000000"/>
            </w:tcBorders>
            <w:shd w:val="clear" w:color="auto" w:fill="auto"/>
            <w:noWrap/>
            <w:vAlign w:val="center"/>
            <w:hideMark/>
          </w:tcPr>
          <w:p w14:paraId="072A023E"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75,26%</w:t>
            </w:r>
          </w:p>
        </w:tc>
      </w:tr>
      <w:tr w:rsidR="0070377F" w:rsidRPr="007B24CA" w14:paraId="624F6BCC"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noWrap/>
            <w:vAlign w:val="center"/>
            <w:hideMark/>
          </w:tcPr>
          <w:p w14:paraId="593BF243" w14:textId="77777777" w:rsidR="0070377F" w:rsidRPr="007B24CA" w:rsidRDefault="0070377F" w:rsidP="00150DF6">
            <w:pPr>
              <w:rPr>
                <w:rFonts w:ascii="Times New Roman" w:hAnsi="Times New Roman"/>
                <w:color w:val="000000"/>
                <w:sz w:val="20"/>
              </w:rPr>
            </w:pPr>
            <w:r w:rsidRPr="007B24CA">
              <w:rPr>
                <w:rFonts w:ascii="Times New Roman" w:hAnsi="Times New Roman"/>
                <w:color w:val="000000"/>
                <w:sz w:val="20"/>
              </w:rPr>
              <w:t xml:space="preserve">Расходи за запослене </w:t>
            </w:r>
          </w:p>
        </w:tc>
        <w:tc>
          <w:tcPr>
            <w:tcW w:w="539" w:type="pct"/>
            <w:tcBorders>
              <w:top w:val="nil"/>
              <w:left w:val="nil"/>
              <w:bottom w:val="single" w:sz="8" w:space="0" w:color="000000"/>
              <w:right w:val="single" w:sz="8" w:space="0" w:color="000000"/>
            </w:tcBorders>
            <w:shd w:val="clear" w:color="auto" w:fill="auto"/>
            <w:noWrap/>
            <w:vAlign w:val="center"/>
            <w:hideMark/>
          </w:tcPr>
          <w:p w14:paraId="6BC9E328"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491,81</w:t>
            </w:r>
          </w:p>
        </w:tc>
        <w:tc>
          <w:tcPr>
            <w:tcW w:w="590" w:type="pct"/>
            <w:tcBorders>
              <w:top w:val="nil"/>
              <w:left w:val="nil"/>
              <w:bottom w:val="single" w:sz="8" w:space="0" w:color="000000"/>
              <w:right w:val="single" w:sz="8" w:space="0" w:color="000000"/>
            </w:tcBorders>
            <w:shd w:val="clear" w:color="auto" w:fill="auto"/>
            <w:noWrap/>
            <w:vAlign w:val="center"/>
            <w:hideMark/>
          </w:tcPr>
          <w:p w14:paraId="3B1C682C"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588,26</w:t>
            </w:r>
          </w:p>
        </w:tc>
        <w:tc>
          <w:tcPr>
            <w:tcW w:w="438" w:type="pct"/>
            <w:tcBorders>
              <w:top w:val="nil"/>
              <w:left w:val="nil"/>
              <w:bottom w:val="single" w:sz="8" w:space="0" w:color="000000"/>
              <w:right w:val="single" w:sz="8" w:space="0" w:color="000000"/>
            </w:tcBorders>
            <w:shd w:val="clear" w:color="auto" w:fill="auto"/>
            <w:noWrap/>
            <w:vAlign w:val="center"/>
            <w:hideMark/>
          </w:tcPr>
          <w:p w14:paraId="4BD53687"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119,61</w:t>
            </w:r>
          </w:p>
        </w:tc>
        <w:tc>
          <w:tcPr>
            <w:tcW w:w="613" w:type="pct"/>
            <w:tcBorders>
              <w:top w:val="nil"/>
              <w:left w:val="nil"/>
              <w:bottom w:val="single" w:sz="8" w:space="0" w:color="000000"/>
              <w:right w:val="single" w:sz="8" w:space="0" w:color="000000"/>
            </w:tcBorders>
            <w:shd w:val="clear" w:color="auto" w:fill="auto"/>
            <w:noWrap/>
            <w:vAlign w:val="center"/>
            <w:hideMark/>
          </w:tcPr>
          <w:p w14:paraId="4D99AB04"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20,19%</w:t>
            </w:r>
          </w:p>
        </w:tc>
        <w:tc>
          <w:tcPr>
            <w:tcW w:w="613" w:type="pct"/>
            <w:tcBorders>
              <w:top w:val="nil"/>
              <w:left w:val="nil"/>
              <w:bottom w:val="single" w:sz="8" w:space="0" w:color="000000"/>
              <w:right w:val="single" w:sz="8" w:space="0" w:color="000000"/>
            </w:tcBorders>
            <w:shd w:val="clear" w:color="auto" w:fill="auto"/>
            <w:noWrap/>
            <w:vAlign w:val="center"/>
            <w:hideMark/>
          </w:tcPr>
          <w:p w14:paraId="1B42875B"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22,11%</w:t>
            </w:r>
          </w:p>
        </w:tc>
      </w:tr>
      <w:tr w:rsidR="0070377F" w:rsidRPr="007B24CA" w14:paraId="4A6FFF42"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noWrap/>
            <w:vAlign w:val="center"/>
            <w:hideMark/>
          </w:tcPr>
          <w:p w14:paraId="1BE764BA" w14:textId="77777777" w:rsidR="0070377F" w:rsidRPr="007B24CA" w:rsidRDefault="0070377F" w:rsidP="00150DF6">
            <w:pPr>
              <w:rPr>
                <w:rFonts w:ascii="Times New Roman" w:hAnsi="Times New Roman"/>
                <w:color w:val="000000"/>
                <w:sz w:val="20"/>
              </w:rPr>
            </w:pPr>
            <w:r w:rsidRPr="007B24CA">
              <w:rPr>
                <w:rFonts w:ascii="Times New Roman" w:hAnsi="Times New Roman"/>
                <w:color w:val="000000"/>
                <w:sz w:val="20"/>
              </w:rPr>
              <w:t xml:space="preserve">Расходи за коришћење услуга и роба </w:t>
            </w:r>
          </w:p>
        </w:tc>
        <w:tc>
          <w:tcPr>
            <w:tcW w:w="539" w:type="pct"/>
            <w:tcBorders>
              <w:top w:val="nil"/>
              <w:left w:val="nil"/>
              <w:bottom w:val="single" w:sz="8" w:space="0" w:color="000000"/>
              <w:right w:val="single" w:sz="8" w:space="0" w:color="000000"/>
            </w:tcBorders>
            <w:shd w:val="clear" w:color="auto" w:fill="auto"/>
            <w:noWrap/>
            <w:vAlign w:val="center"/>
            <w:hideMark/>
          </w:tcPr>
          <w:p w14:paraId="170FF177"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225,28</w:t>
            </w:r>
          </w:p>
        </w:tc>
        <w:tc>
          <w:tcPr>
            <w:tcW w:w="590" w:type="pct"/>
            <w:tcBorders>
              <w:top w:val="nil"/>
              <w:left w:val="nil"/>
              <w:bottom w:val="single" w:sz="8" w:space="0" w:color="000000"/>
              <w:right w:val="single" w:sz="8" w:space="0" w:color="000000"/>
            </w:tcBorders>
            <w:shd w:val="clear" w:color="auto" w:fill="auto"/>
            <w:noWrap/>
            <w:vAlign w:val="center"/>
            <w:hideMark/>
          </w:tcPr>
          <w:p w14:paraId="59AF170E"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268,03</w:t>
            </w:r>
          </w:p>
        </w:tc>
        <w:tc>
          <w:tcPr>
            <w:tcW w:w="438" w:type="pct"/>
            <w:tcBorders>
              <w:top w:val="nil"/>
              <w:left w:val="nil"/>
              <w:bottom w:val="single" w:sz="8" w:space="0" w:color="000000"/>
              <w:right w:val="single" w:sz="8" w:space="0" w:color="000000"/>
            </w:tcBorders>
            <w:shd w:val="clear" w:color="auto" w:fill="auto"/>
            <w:noWrap/>
            <w:vAlign w:val="center"/>
            <w:hideMark/>
          </w:tcPr>
          <w:p w14:paraId="2D145019"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118,98</w:t>
            </w:r>
          </w:p>
        </w:tc>
        <w:tc>
          <w:tcPr>
            <w:tcW w:w="613" w:type="pct"/>
            <w:tcBorders>
              <w:top w:val="nil"/>
              <w:left w:val="nil"/>
              <w:bottom w:val="single" w:sz="8" w:space="0" w:color="000000"/>
              <w:right w:val="single" w:sz="8" w:space="0" w:color="000000"/>
            </w:tcBorders>
            <w:shd w:val="clear" w:color="auto" w:fill="auto"/>
            <w:noWrap/>
            <w:vAlign w:val="center"/>
            <w:hideMark/>
          </w:tcPr>
          <w:p w14:paraId="7F51AB04"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9,25%</w:t>
            </w:r>
          </w:p>
        </w:tc>
        <w:tc>
          <w:tcPr>
            <w:tcW w:w="613" w:type="pct"/>
            <w:tcBorders>
              <w:top w:val="nil"/>
              <w:left w:val="nil"/>
              <w:bottom w:val="single" w:sz="8" w:space="0" w:color="000000"/>
              <w:right w:val="single" w:sz="8" w:space="0" w:color="000000"/>
            </w:tcBorders>
            <w:shd w:val="clear" w:color="auto" w:fill="auto"/>
            <w:noWrap/>
            <w:vAlign w:val="center"/>
            <w:hideMark/>
          </w:tcPr>
          <w:p w14:paraId="7B1AB3C8"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10,08%</w:t>
            </w:r>
          </w:p>
        </w:tc>
      </w:tr>
      <w:tr w:rsidR="0070377F" w:rsidRPr="007B24CA" w14:paraId="51AC6739"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noWrap/>
            <w:vAlign w:val="center"/>
            <w:hideMark/>
          </w:tcPr>
          <w:p w14:paraId="45A06DB4" w14:textId="77777777" w:rsidR="0070377F" w:rsidRPr="007B24CA" w:rsidRDefault="0070377F" w:rsidP="00150DF6">
            <w:pPr>
              <w:rPr>
                <w:rFonts w:ascii="Times New Roman" w:hAnsi="Times New Roman"/>
                <w:color w:val="000000"/>
                <w:sz w:val="20"/>
              </w:rPr>
            </w:pPr>
            <w:r w:rsidRPr="007B24CA">
              <w:rPr>
                <w:rFonts w:ascii="Times New Roman" w:hAnsi="Times New Roman"/>
                <w:color w:val="000000"/>
                <w:sz w:val="20"/>
              </w:rPr>
              <w:t>Отплата камата и пратећи трошкови задуживања</w:t>
            </w:r>
          </w:p>
        </w:tc>
        <w:tc>
          <w:tcPr>
            <w:tcW w:w="539" w:type="pct"/>
            <w:tcBorders>
              <w:top w:val="nil"/>
              <w:left w:val="nil"/>
              <w:bottom w:val="single" w:sz="8" w:space="0" w:color="000000"/>
              <w:right w:val="single" w:sz="8" w:space="0" w:color="000000"/>
            </w:tcBorders>
            <w:shd w:val="clear" w:color="auto" w:fill="auto"/>
            <w:noWrap/>
            <w:vAlign w:val="center"/>
            <w:hideMark/>
          </w:tcPr>
          <w:p w14:paraId="369D6D5B"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185,09</w:t>
            </w:r>
          </w:p>
        </w:tc>
        <w:tc>
          <w:tcPr>
            <w:tcW w:w="590" w:type="pct"/>
            <w:tcBorders>
              <w:top w:val="nil"/>
              <w:left w:val="nil"/>
              <w:bottom w:val="single" w:sz="8" w:space="0" w:color="000000"/>
              <w:right w:val="single" w:sz="8" w:space="0" w:color="000000"/>
            </w:tcBorders>
            <w:shd w:val="clear" w:color="auto" w:fill="auto"/>
            <w:noWrap/>
            <w:vAlign w:val="center"/>
            <w:hideMark/>
          </w:tcPr>
          <w:p w14:paraId="5079032A"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220,25</w:t>
            </w:r>
          </w:p>
        </w:tc>
        <w:tc>
          <w:tcPr>
            <w:tcW w:w="438" w:type="pct"/>
            <w:tcBorders>
              <w:top w:val="nil"/>
              <w:left w:val="nil"/>
              <w:bottom w:val="single" w:sz="8" w:space="0" w:color="000000"/>
              <w:right w:val="single" w:sz="8" w:space="0" w:color="000000"/>
            </w:tcBorders>
            <w:shd w:val="clear" w:color="auto" w:fill="auto"/>
            <w:noWrap/>
            <w:vAlign w:val="center"/>
            <w:hideMark/>
          </w:tcPr>
          <w:p w14:paraId="4D7B4A8F"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119,00</w:t>
            </w:r>
          </w:p>
        </w:tc>
        <w:tc>
          <w:tcPr>
            <w:tcW w:w="613" w:type="pct"/>
            <w:tcBorders>
              <w:top w:val="nil"/>
              <w:left w:val="nil"/>
              <w:bottom w:val="single" w:sz="8" w:space="0" w:color="000000"/>
              <w:right w:val="single" w:sz="8" w:space="0" w:color="000000"/>
            </w:tcBorders>
            <w:shd w:val="clear" w:color="auto" w:fill="auto"/>
            <w:noWrap/>
            <w:vAlign w:val="center"/>
            <w:hideMark/>
          </w:tcPr>
          <w:p w14:paraId="0DE823CC"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7,60%</w:t>
            </w:r>
          </w:p>
        </w:tc>
        <w:tc>
          <w:tcPr>
            <w:tcW w:w="613" w:type="pct"/>
            <w:tcBorders>
              <w:top w:val="nil"/>
              <w:left w:val="nil"/>
              <w:bottom w:val="single" w:sz="8" w:space="0" w:color="000000"/>
              <w:right w:val="single" w:sz="8" w:space="0" w:color="000000"/>
            </w:tcBorders>
            <w:shd w:val="clear" w:color="auto" w:fill="auto"/>
            <w:noWrap/>
            <w:vAlign w:val="center"/>
            <w:hideMark/>
          </w:tcPr>
          <w:p w14:paraId="1DB20667"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8,28%</w:t>
            </w:r>
          </w:p>
        </w:tc>
      </w:tr>
      <w:tr w:rsidR="0070377F" w:rsidRPr="007B24CA" w14:paraId="39C8C65A"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noWrap/>
            <w:vAlign w:val="center"/>
            <w:hideMark/>
          </w:tcPr>
          <w:p w14:paraId="5E00CC53" w14:textId="77777777" w:rsidR="0070377F" w:rsidRPr="007B24CA" w:rsidRDefault="0070377F" w:rsidP="00150DF6">
            <w:pPr>
              <w:rPr>
                <w:rFonts w:ascii="Times New Roman" w:hAnsi="Times New Roman"/>
                <w:color w:val="000000"/>
                <w:sz w:val="20"/>
              </w:rPr>
            </w:pPr>
            <w:r w:rsidRPr="007B24CA">
              <w:rPr>
                <w:rFonts w:ascii="Times New Roman" w:hAnsi="Times New Roman"/>
                <w:color w:val="000000"/>
                <w:sz w:val="20"/>
              </w:rPr>
              <w:t>Субвенције</w:t>
            </w:r>
          </w:p>
        </w:tc>
        <w:tc>
          <w:tcPr>
            <w:tcW w:w="539" w:type="pct"/>
            <w:tcBorders>
              <w:top w:val="nil"/>
              <w:left w:val="nil"/>
              <w:bottom w:val="single" w:sz="8" w:space="0" w:color="000000"/>
              <w:right w:val="single" w:sz="8" w:space="0" w:color="000000"/>
            </w:tcBorders>
            <w:shd w:val="clear" w:color="auto" w:fill="auto"/>
            <w:noWrap/>
            <w:vAlign w:val="center"/>
            <w:hideMark/>
          </w:tcPr>
          <w:p w14:paraId="5FAB6517"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214,50</w:t>
            </w:r>
          </w:p>
        </w:tc>
        <w:tc>
          <w:tcPr>
            <w:tcW w:w="590" w:type="pct"/>
            <w:tcBorders>
              <w:top w:val="nil"/>
              <w:left w:val="nil"/>
              <w:bottom w:val="single" w:sz="8" w:space="0" w:color="000000"/>
              <w:right w:val="single" w:sz="8" w:space="0" w:color="000000"/>
            </w:tcBorders>
            <w:shd w:val="clear" w:color="auto" w:fill="auto"/>
            <w:noWrap/>
            <w:vAlign w:val="center"/>
            <w:hideMark/>
          </w:tcPr>
          <w:p w14:paraId="4D52147F"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224,04</w:t>
            </w:r>
          </w:p>
        </w:tc>
        <w:tc>
          <w:tcPr>
            <w:tcW w:w="438" w:type="pct"/>
            <w:tcBorders>
              <w:top w:val="nil"/>
              <w:left w:val="nil"/>
              <w:bottom w:val="single" w:sz="8" w:space="0" w:color="000000"/>
              <w:right w:val="single" w:sz="8" w:space="0" w:color="000000"/>
            </w:tcBorders>
            <w:shd w:val="clear" w:color="auto" w:fill="auto"/>
            <w:noWrap/>
            <w:vAlign w:val="center"/>
            <w:hideMark/>
          </w:tcPr>
          <w:p w14:paraId="60E9309D"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104,45</w:t>
            </w:r>
          </w:p>
        </w:tc>
        <w:tc>
          <w:tcPr>
            <w:tcW w:w="613" w:type="pct"/>
            <w:tcBorders>
              <w:top w:val="nil"/>
              <w:left w:val="nil"/>
              <w:bottom w:val="single" w:sz="8" w:space="0" w:color="000000"/>
              <w:right w:val="single" w:sz="8" w:space="0" w:color="000000"/>
            </w:tcBorders>
            <w:shd w:val="clear" w:color="auto" w:fill="auto"/>
            <w:noWrap/>
            <w:vAlign w:val="center"/>
            <w:hideMark/>
          </w:tcPr>
          <w:p w14:paraId="6CFAE720"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8,80%</w:t>
            </w:r>
          </w:p>
        </w:tc>
        <w:tc>
          <w:tcPr>
            <w:tcW w:w="613" w:type="pct"/>
            <w:tcBorders>
              <w:top w:val="nil"/>
              <w:left w:val="nil"/>
              <w:bottom w:val="single" w:sz="8" w:space="0" w:color="000000"/>
              <w:right w:val="single" w:sz="8" w:space="0" w:color="000000"/>
            </w:tcBorders>
            <w:shd w:val="clear" w:color="auto" w:fill="auto"/>
            <w:noWrap/>
            <w:vAlign w:val="center"/>
            <w:hideMark/>
          </w:tcPr>
          <w:p w14:paraId="7081ACA2"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8,42%</w:t>
            </w:r>
          </w:p>
        </w:tc>
      </w:tr>
      <w:tr w:rsidR="0070377F" w:rsidRPr="007B24CA" w14:paraId="3262D832"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noWrap/>
            <w:vAlign w:val="center"/>
            <w:hideMark/>
          </w:tcPr>
          <w:p w14:paraId="666E3C24" w14:textId="77777777" w:rsidR="0070377F" w:rsidRPr="007B24CA" w:rsidRDefault="0070377F" w:rsidP="00150DF6">
            <w:pPr>
              <w:rPr>
                <w:rFonts w:ascii="Times New Roman" w:hAnsi="Times New Roman"/>
                <w:color w:val="000000"/>
                <w:sz w:val="20"/>
              </w:rPr>
            </w:pPr>
            <w:r w:rsidRPr="007B24CA">
              <w:rPr>
                <w:rFonts w:ascii="Times New Roman" w:hAnsi="Times New Roman"/>
                <w:color w:val="000000"/>
                <w:sz w:val="20"/>
              </w:rPr>
              <w:t>Донације страним владама</w:t>
            </w:r>
          </w:p>
        </w:tc>
        <w:tc>
          <w:tcPr>
            <w:tcW w:w="539" w:type="pct"/>
            <w:tcBorders>
              <w:top w:val="nil"/>
              <w:left w:val="nil"/>
              <w:bottom w:val="single" w:sz="8" w:space="0" w:color="000000"/>
              <w:right w:val="single" w:sz="8" w:space="0" w:color="000000"/>
            </w:tcBorders>
            <w:shd w:val="clear" w:color="auto" w:fill="auto"/>
            <w:noWrap/>
            <w:vAlign w:val="center"/>
            <w:hideMark/>
          </w:tcPr>
          <w:p w14:paraId="2E061BED"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6,12</w:t>
            </w:r>
          </w:p>
        </w:tc>
        <w:tc>
          <w:tcPr>
            <w:tcW w:w="590" w:type="pct"/>
            <w:tcBorders>
              <w:top w:val="nil"/>
              <w:left w:val="nil"/>
              <w:bottom w:val="single" w:sz="8" w:space="0" w:color="000000"/>
              <w:right w:val="single" w:sz="8" w:space="0" w:color="000000"/>
            </w:tcBorders>
            <w:shd w:val="clear" w:color="auto" w:fill="auto"/>
            <w:noWrap/>
            <w:vAlign w:val="center"/>
            <w:hideMark/>
          </w:tcPr>
          <w:p w14:paraId="3B6A2DB0"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0,02</w:t>
            </w:r>
          </w:p>
        </w:tc>
        <w:tc>
          <w:tcPr>
            <w:tcW w:w="438" w:type="pct"/>
            <w:tcBorders>
              <w:top w:val="nil"/>
              <w:left w:val="nil"/>
              <w:bottom w:val="single" w:sz="8" w:space="0" w:color="000000"/>
              <w:right w:val="single" w:sz="8" w:space="0" w:color="000000"/>
            </w:tcBorders>
            <w:shd w:val="clear" w:color="auto" w:fill="auto"/>
            <w:noWrap/>
            <w:vAlign w:val="center"/>
            <w:hideMark/>
          </w:tcPr>
          <w:p w14:paraId="73678390"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0,25</w:t>
            </w:r>
          </w:p>
        </w:tc>
        <w:tc>
          <w:tcPr>
            <w:tcW w:w="613" w:type="pct"/>
            <w:tcBorders>
              <w:top w:val="nil"/>
              <w:left w:val="nil"/>
              <w:bottom w:val="single" w:sz="8" w:space="0" w:color="000000"/>
              <w:right w:val="single" w:sz="8" w:space="0" w:color="000000"/>
            </w:tcBorders>
            <w:shd w:val="clear" w:color="auto" w:fill="auto"/>
            <w:noWrap/>
            <w:vAlign w:val="center"/>
            <w:hideMark/>
          </w:tcPr>
          <w:p w14:paraId="652F2837"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0,25%</w:t>
            </w:r>
          </w:p>
        </w:tc>
        <w:tc>
          <w:tcPr>
            <w:tcW w:w="613" w:type="pct"/>
            <w:tcBorders>
              <w:top w:val="nil"/>
              <w:left w:val="nil"/>
              <w:bottom w:val="single" w:sz="8" w:space="0" w:color="000000"/>
              <w:right w:val="single" w:sz="8" w:space="0" w:color="000000"/>
            </w:tcBorders>
            <w:shd w:val="clear" w:color="auto" w:fill="auto"/>
            <w:noWrap/>
            <w:vAlign w:val="center"/>
            <w:hideMark/>
          </w:tcPr>
          <w:p w14:paraId="5D26BE64"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0,00%</w:t>
            </w:r>
          </w:p>
        </w:tc>
      </w:tr>
      <w:tr w:rsidR="0070377F" w:rsidRPr="007B24CA" w14:paraId="6C3EB502"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vAlign w:val="center"/>
            <w:hideMark/>
          </w:tcPr>
          <w:p w14:paraId="150CD626" w14:textId="77777777" w:rsidR="0070377F" w:rsidRPr="007B24CA" w:rsidRDefault="0070377F" w:rsidP="00150DF6">
            <w:pPr>
              <w:rPr>
                <w:rFonts w:ascii="Times New Roman" w:hAnsi="Times New Roman"/>
                <w:color w:val="000000"/>
                <w:sz w:val="20"/>
              </w:rPr>
            </w:pPr>
            <w:r w:rsidRPr="007B24CA">
              <w:rPr>
                <w:rFonts w:ascii="Times New Roman" w:hAnsi="Times New Roman"/>
                <w:color w:val="000000"/>
                <w:sz w:val="20"/>
              </w:rPr>
              <w:t>Дотације међународним организацијама</w:t>
            </w:r>
          </w:p>
        </w:tc>
        <w:tc>
          <w:tcPr>
            <w:tcW w:w="539" w:type="pct"/>
            <w:tcBorders>
              <w:top w:val="nil"/>
              <w:left w:val="nil"/>
              <w:bottom w:val="single" w:sz="8" w:space="0" w:color="000000"/>
              <w:right w:val="single" w:sz="8" w:space="0" w:color="000000"/>
            </w:tcBorders>
            <w:shd w:val="clear" w:color="auto" w:fill="auto"/>
            <w:noWrap/>
            <w:vAlign w:val="center"/>
            <w:hideMark/>
          </w:tcPr>
          <w:p w14:paraId="28803D6F"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10,34</w:t>
            </w:r>
          </w:p>
        </w:tc>
        <w:tc>
          <w:tcPr>
            <w:tcW w:w="590" w:type="pct"/>
            <w:tcBorders>
              <w:top w:val="nil"/>
              <w:left w:val="nil"/>
              <w:bottom w:val="single" w:sz="8" w:space="0" w:color="000000"/>
              <w:right w:val="single" w:sz="8" w:space="0" w:color="000000"/>
            </w:tcBorders>
            <w:shd w:val="clear" w:color="auto" w:fill="auto"/>
            <w:noWrap/>
            <w:vAlign w:val="center"/>
            <w:hideMark/>
          </w:tcPr>
          <w:p w14:paraId="5AC185B1"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9,67</w:t>
            </w:r>
          </w:p>
        </w:tc>
        <w:tc>
          <w:tcPr>
            <w:tcW w:w="438" w:type="pct"/>
            <w:tcBorders>
              <w:top w:val="nil"/>
              <w:left w:val="nil"/>
              <w:bottom w:val="single" w:sz="8" w:space="0" w:color="000000"/>
              <w:right w:val="single" w:sz="8" w:space="0" w:color="000000"/>
            </w:tcBorders>
            <w:shd w:val="clear" w:color="auto" w:fill="auto"/>
            <w:noWrap/>
            <w:vAlign w:val="center"/>
            <w:hideMark/>
          </w:tcPr>
          <w:p w14:paraId="4D32C43F"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93,46</w:t>
            </w:r>
          </w:p>
        </w:tc>
        <w:tc>
          <w:tcPr>
            <w:tcW w:w="613" w:type="pct"/>
            <w:tcBorders>
              <w:top w:val="nil"/>
              <w:left w:val="nil"/>
              <w:bottom w:val="single" w:sz="8" w:space="0" w:color="000000"/>
              <w:right w:val="single" w:sz="8" w:space="0" w:color="000000"/>
            </w:tcBorders>
            <w:shd w:val="clear" w:color="auto" w:fill="auto"/>
            <w:noWrap/>
            <w:vAlign w:val="center"/>
            <w:hideMark/>
          </w:tcPr>
          <w:p w14:paraId="2F9F82C6"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0,42%</w:t>
            </w:r>
          </w:p>
        </w:tc>
        <w:tc>
          <w:tcPr>
            <w:tcW w:w="613" w:type="pct"/>
            <w:tcBorders>
              <w:top w:val="nil"/>
              <w:left w:val="nil"/>
              <w:bottom w:val="single" w:sz="8" w:space="0" w:color="000000"/>
              <w:right w:val="single" w:sz="8" w:space="0" w:color="000000"/>
            </w:tcBorders>
            <w:shd w:val="clear" w:color="auto" w:fill="auto"/>
            <w:noWrap/>
            <w:vAlign w:val="center"/>
            <w:hideMark/>
          </w:tcPr>
          <w:p w14:paraId="1568B043"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0,36%</w:t>
            </w:r>
          </w:p>
        </w:tc>
      </w:tr>
      <w:tr w:rsidR="0070377F" w:rsidRPr="007B24CA" w14:paraId="2AE54D0F"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vAlign w:val="center"/>
            <w:hideMark/>
          </w:tcPr>
          <w:p w14:paraId="3CB2F02F" w14:textId="77777777" w:rsidR="0070377F" w:rsidRPr="007B24CA" w:rsidRDefault="0070377F" w:rsidP="00150DF6">
            <w:pPr>
              <w:rPr>
                <w:rFonts w:ascii="Times New Roman" w:hAnsi="Times New Roman"/>
                <w:color w:val="000000"/>
                <w:sz w:val="20"/>
              </w:rPr>
            </w:pPr>
            <w:r w:rsidRPr="007B24CA">
              <w:rPr>
                <w:rFonts w:ascii="Times New Roman" w:hAnsi="Times New Roman"/>
                <w:color w:val="000000"/>
                <w:sz w:val="20"/>
              </w:rPr>
              <w:t>Трансфери осталим нивоима власти</w:t>
            </w:r>
          </w:p>
        </w:tc>
        <w:tc>
          <w:tcPr>
            <w:tcW w:w="539" w:type="pct"/>
            <w:tcBorders>
              <w:top w:val="nil"/>
              <w:left w:val="nil"/>
              <w:bottom w:val="single" w:sz="8" w:space="0" w:color="000000"/>
              <w:right w:val="single" w:sz="8" w:space="0" w:color="000000"/>
            </w:tcBorders>
            <w:shd w:val="clear" w:color="auto" w:fill="auto"/>
            <w:noWrap/>
            <w:vAlign w:val="center"/>
            <w:hideMark/>
          </w:tcPr>
          <w:p w14:paraId="37B508A0"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115,00</w:t>
            </w:r>
          </w:p>
        </w:tc>
        <w:tc>
          <w:tcPr>
            <w:tcW w:w="590" w:type="pct"/>
            <w:tcBorders>
              <w:top w:val="nil"/>
              <w:left w:val="nil"/>
              <w:bottom w:val="single" w:sz="8" w:space="0" w:color="000000"/>
              <w:right w:val="single" w:sz="8" w:space="0" w:color="000000"/>
            </w:tcBorders>
            <w:shd w:val="clear" w:color="auto" w:fill="auto"/>
            <w:noWrap/>
            <w:vAlign w:val="center"/>
            <w:hideMark/>
          </w:tcPr>
          <w:p w14:paraId="3718BBE4"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81,43</w:t>
            </w:r>
          </w:p>
        </w:tc>
        <w:tc>
          <w:tcPr>
            <w:tcW w:w="438" w:type="pct"/>
            <w:tcBorders>
              <w:top w:val="nil"/>
              <w:left w:val="nil"/>
              <w:bottom w:val="single" w:sz="8" w:space="0" w:color="000000"/>
              <w:right w:val="single" w:sz="8" w:space="0" w:color="000000"/>
            </w:tcBorders>
            <w:shd w:val="clear" w:color="auto" w:fill="auto"/>
            <w:noWrap/>
            <w:vAlign w:val="center"/>
            <w:hideMark/>
          </w:tcPr>
          <w:p w14:paraId="4AECE488"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70,81</w:t>
            </w:r>
          </w:p>
        </w:tc>
        <w:tc>
          <w:tcPr>
            <w:tcW w:w="613" w:type="pct"/>
            <w:tcBorders>
              <w:top w:val="nil"/>
              <w:left w:val="nil"/>
              <w:bottom w:val="single" w:sz="8" w:space="0" w:color="000000"/>
              <w:right w:val="single" w:sz="8" w:space="0" w:color="000000"/>
            </w:tcBorders>
            <w:shd w:val="clear" w:color="auto" w:fill="auto"/>
            <w:noWrap/>
            <w:vAlign w:val="center"/>
            <w:hideMark/>
          </w:tcPr>
          <w:p w14:paraId="7D0812EA"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4,72%</w:t>
            </w:r>
          </w:p>
        </w:tc>
        <w:tc>
          <w:tcPr>
            <w:tcW w:w="613" w:type="pct"/>
            <w:tcBorders>
              <w:top w:val="nil"/>
              <w:left w:val="nil"/>
              <w:bottom w:val="single" w:sz="8" w:space="0" w:color="000000"/>
              <w:right w:val="single" w:sz="8" w:space="0" w:color="000000"/>
            </w:tcBorders>
            <w:shd w:val="clear" w:color="auto" w:fill="auto"/>
            <w:noWrap/>
            <w:vAlign w:val="center"/>
            <w:hideMark/>
          </w:tcPr>
          <w:p w14:paraId="39CA8F39"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3,06%</w:t>
            </w:r>
          </w:p>
        </w:tc>
      </w:tr>
      <w:tr w:rsidR="0070377F" w:rsidRPr="007B24CA" w14:paraId="4A31FEBB"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vAlign w:val="center"/>
            <w:hideMark/>
          </w:tcPr>
          <w:p w14:paraId="39C9F9A3" w14:textId="77777777" w:rsidR="0070377F" w:rsidRPr="007B24CA" w:rsidRDefault="0070377F" w:rsidP="00150DF6">
            <w:pPr>
              <w:rPr>
                <w:rFonts w:ascii="Times New Roman" w:hAnsi="Times New Roman"/>
                <w:color w:val="000000"/>
                <w:sz w:val="20"/>
              </w:rPr>
            </w:pPr>
            <w:r w:rsidRPr="007B24CA">
              <w:rPr>
                <w:rFonts w:ascii="Times New Roman" w:hAnsi="Times New Roman"/>
                <w:color w:val="000000"/>
                <w:sz w:val="20"/>
              </w:rPr>
              <w:t xml:space="preserve">Дотације организацијама за обавезно социјално осигурање </w:t>
            </w:r>
          </w:p>
        </w:tc>
        <w:tc>
          <w:tcPr>
            <w:tcW w:w="539" w:type="pct"/>
            <w:tcBorders>
              <w:top w:val="nil"/>
              <w:left w:val="nil"/>
              <w:bottom w:val="single" w:sz="8" w:space="0" w:color="000000"/>
              <w:right w:val="single" w:sz="8" w:space="0" w:color="000000"/>
            </w:tcBorders>
            <w:shd w:val="clear" w:color="auto" w:fill="auto"/>
            <w:noWrap/>
            <w:vAlign w:val="center"/>
            <w:hideMark/>
          </w:tcPr>
          <w:p w14:paraId="147ABD1B"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324,86</w:t>
            </w:r>
          </w:p>
        </w:tc>
        <w:tc>
          <w:tcPr>
            <w:tcW w:w="590" w:type="pct"/>
            <w:tcBorders>
              <w:top w:val="nil"/>
              <w:left w:val="nil"/>
              <w:bottom w:val="single" w:sz="8" w:space="0" w:color="000000"/>
              <w:right w:val="single" w:sz="8" w:space="0" w:color="000000"/>
            </w:tcBorders>
            <w:shd w:val="clear" w:color="auto" w:fill="auto"/>
            <w:noWrap/>
            <w:vAlign w:val="center"/>
            <w:hideMark/>
          </w:tcPr>
          <w:p w14:paraId="43B574F3"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355,72</w:t>
            </w:r>
          </w:p>
        </w:tc>
        <w:tc>
          <w:tcPr>
            <w:tcW w:w="438" w:type="pct"/>
            <w:tcBorders>
              <w:top w:val="nil"/>
              <w:left w:val="nil"/>
              <w:bottom w:val="single" w:sz="8" w:space="0" w:color="000000"/>
              <w:right w:val="single" w:sz="8" w:space="0" w:color="000000"/>
            </w:tcBorders>
            <w:shd w:val="clear" w:color="auto" w:fill="auto"/>
            <w:noWrap/>
            <w:vAlign w:val="center"/>
            <w:hideMark/>
          </w:tcPr>
          <w:p w14:paraId="23545456"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109,50</w:t>
            </w:r>
          </w:p>
        </w:tc>
        <w:tc>
          <w:tcPr>
            <w:tcW w:w="613" w:type="pct"/>
            <w:tcBorders>
              <w:top w:val="nil"/>
              <w:left w:val="nil"/>
              <w:bottom w:val="single" w:sz="8" w:space="0" w:color="000000"/>
              <w:right w:val="single" w:sz="8" w:space="0" w:color="000000"/>
            </w:tcBorders>
            <w:shd w:val="clear" w:color="auto" w:fill="auto"/>
            <w:noWrap/>
            <w:vAlign w:val="center"/>
            <w:hideMark/>
          </w:tcPr>
          <w:p w14:paraId="75343AB6"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13,33%</w:t>
            </w:r>
          </w:p>
        </w:tc>
        <w:tc>
          <w:tcPr>
            <w:tcW w:w="613" w:type="pct"/>
            <w:tcBorders>
              <w:top w:val="nil"/>
              <w:left w:val="nil"/>
              <w:bottom w:val="single" w:sz="8" w:space="0" w:color="000000"/>
              <w:right w:val="single" w:sz="8" w:space="0" w:color="000000"/>
            </w:tcBorders>
            <w:shd w:val="clear" w:color="auto" w:fill="auto"/>
            <w:noWrap/>
            <w:vAlign w:val="center"/>
            <w:hideMark/>
          </w:tcPr>
          <w:p w14:paraId="6FBD3F4A"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13,37%</w:t>
            </w:r>
          </w:p>
        </w:tc>
      </w:tr>
      <w:tr w:rsidR="0070377F" w:rsidRPr="007B24CA" w14:paraId="16171C9A"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vAlign w:val="center"/>
            <w:hideMark/>
          </w:tcPr>
          <w:p w14:paraId="7B0627B8" w14:textId="77777777" w:rsidR="0070377F" w:rsidRPr="007B24CA" w:rsidRDefault="0070377F" w:rsidP="00150DF6">
            <w:pPr>
              <w:rPr>
                <w:rFonts w:ascii="Times New Roman" w:hAnsi="Times New Roman"/>
                <w:color w:val="000000"/>
                <w:sz w:val="20"/>
              </w:rPr>
            </w:pPr>
            <w:r w:rsidRPr="007B24CA">
              <w:rPr>
                <w:rFonts w:ascii="Times New Roman" w:hAnsi="Times New Roman"/>
                <w:color w:val="000000"/>
                <w:sz w:val="20"/>
              </w:rPr>
              <w:t>Остале дотације и трансфери</w:t>
            </w:r>
          </w:p>
        </w:tc>
        <w:tc>
          <w:tcPr>
            <w:tcW w:w="539" w:type="pct"/>
            <w:tcBorders>
              <w:top w:val="nil"/>
              <w:left w:val="nil"/>
              <w:bottom w:val="single" w:sz="8" w:space="0" w:color="000000"/>
              <w:right w:val="single" w:sz="8" w:space="0" w:color="000000"/>
            </w:tcBorders>
            <w:shd w:val="clear" w:color="auto" w:fill="auto"/>
            <w:noWrap/>
            <w:vAlign w:val="center"/>
            <w:hideMark/>
          </w:tcPr>
          <w:p w14:paraId="362EAB3D"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5,02</w:t>
            </w:r>
          </w:p>
        </w:tc>
        <w:tc>
          <w:tcPr>
            <w:tcW w:w="590" w:type="pct"/>
            <w:tcBorders>
              <w:top w:val="nil"/>
              <w:left w:val="nil"/>
              <w:bottom w:val="single" w:sz="8" w:space="0" w:color="000000"/>
              <w:right w:val="single" w:sz="8" w:space="0" w:color="000000"/>
            </w:tcBorders>
            <w:shd w:val="clear" w:color="auto" w:fill="auto"/>
            <w:noWrap/>
            <w:vAlign w:val="center"/>
            <w:hideMark/>
          </w:tcPr>
          <w:p w14:paraId="376C247E"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3,55</w:t>
            </w:r>
          </w:p>
        </w:tc>
        <w:tc>
          <w:tcPr>
            <w:tcW w:w="438" w:type="pct"/>
            <w:tcBorders>
              <w:top w:val="nil"/>
              <w:left w:val="nil"/>
              <w:bottom w:val="single" w:sz="8" w:space="0" w:color="000000"/>
              <w:right w:val="single" w:sz="8" w:space="0" w:color="000000"/>
            </w:tcBorders>
            <w:shd w:val="clear" w:color="auto" w:fill="auto"/>
            <w:noWrap/>
            <w:vAlign w:val="center"/>
            <w:hideMark/>
          </w:tcPr>
          <w:p w14:paraId="4AC0CDBD"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70,77</w:t>
            </w:r>
          </w:p>
        </w:tc>
        <w:tc>
          <w:tcPr>
            <w:tcW w:w="613" w:type="pct"/>
            <w:tcBorders>
              <w:top w:val="nil"/>
              <w:left w:val="nil"/>
              <w:bottom w:val="single" w:sz="8" w:space="0" w:color="000000"/>
              <w:right w:val="single" w:sz="8" w:space="0" w:color="000000"/>
            </w:tcBorders>
            <w:shd w:val="clear" w:color="auto" w:fill="auto"/>
            <w:noWrap/>
            <w:vAlign w:val="center"/>
            <w:hideMark/>
          </w:tcPr>
          <w:p w14:paraId="61A1AEF0"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0,21%</w:t>
            </w:r>
          </w:p>
        </w:tc>
        <w:tc>
          <w:tcPr>
            <w:tcW w:w="613" w:type="pct"/>
            <w:tcBorders>
              <w:top w:val="nil"/>
              <w:left w:val="nil"/>
              <w:bottom w:val="single" w:sz="8" w:space="0" w:color="000000"/>
              <w:right w:val="single" w:sz="8" w:space="0" w:color="000000"/>
            </w:tcBorders>
            <w:shd w:val="clear" w:color="auto" w:fill="auto"/>
            <w:noWrap/>
            <w:vAlign w:val="center"/>
            <w:hideMark/>
          </w:tcPr>
          <w:p w14:paraId="12C120E1"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0,13%</w:t>
            </w:r>
          </w:p>
        </w:tc>
      </w:tr>
      <w:tr w:rsidR="0070377F" w:rsidRPr="007B24CA" w14:paraId="36FEC827"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vAlign w:val="center"/>
            <w:hideMark/>
          </w:tcPr>
          <w:p w14:paraId="0FB0F0A7" w14:textId="77777777" w:rsidR="0070377F" w:rsidRPr="007B24CA" w:rsidRDefault="0070377F" w:rsidP="00150DF6">
            <w:pPr>
              <w:rPr>
                <w:rFonts w:ascii="Times New Roman" w:hAnsi="Times New Roman"/>
                <w:color w:val="000000"/>
                <w:sz w:val="20"/>
              </w:rPr>
            </w:pPr>
            <w:r w:rsidRPr="007B24CA">
              <w:rPr>
                <w:rFonts w:ascii="Times New Roman" w:hAnsi="Times New Roman"/>
                <w:color w:val="000000"/>
                <w:sz w:val="20"/>
              </w:rPr>
              <w:t>Социјално осигурање и социјална заштита</w:t>
            </w:r>
          </w:p>
        </w:tc>
        <w:tc>
          <w:tcPr>
            <w:tcW w:w="539" w:type="pct"/>
            <w:tcBorders>
              <w:top w:val="nil"/>
              <w:left w:val="nil"/>
              <w:bottom w:val="single" w:sz="8" w:space="0" w:color="000000"/>
              <w:right w:val="single" w:sz="8" w:space="0" w:color="000000"/>
            </w:tcBorders>
            <w:shd w:val="clear" w:color="auto" w:fill="auto"/>
            <w:noWrap/>
            <w:vAlign w:val="center"/>
            <w:hideMark/>
          </w:tcPr>
          <w:p w14:paraId="120CECB2"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183,07</w:t>
            </w:r>
          </w:p>
        </w:tc>
        <w:tc>
          <w:tcPr>
            <w:tcW w:w="590" w:type="pct"/>
            <w:tcBorders>
              <w:top w:val="nil"/>
              <w:left w:val="nil"/>
              <w:bottom w:val="single" w:sz="8" w:space="0" w:color="000000"/>
              <w:right w:val="single" w:sz="8" w:space="0" w:color="000000"/>
            </w:tcBorders>
            <w:shd w:val="clear" w:color="auto" w:fill="auto"/>
            <w:noWrap/>
            <w:vAlign w:val="center"/>
            <w:hideMark/>
          </w:tcPr>
          <w:p w14:paraId="14E11AB8"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197,40</w:t>
            </w:r>
          </w:p>
        </w:tc>
        <w:tc>
          <w:tcPr>
            <w:tcW w:w="438" w:type="pct"/>
            <w:tcBorders>
              <w:top w:val="nil"/>
              <w:left w:val="nil"/>
              <w:bottom w:val="single" w:sz="8" w:space="0" w:color="000000"/>
              <w:right w:val="single" w:sz="8" w:space="0" w:color="000000"/>
            </w:tcBorders>
            <w:shd w:val="clear" w:color="auto" w:fill="auto"/>
            <w:noWrap/>
            <w:vAlign w:val="center"/>
            <w:hideMark/>
          </w:tcPr>
          <w:p w14:paraId="1ACAC536"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107,83</w:t>
            </w:r>
          </w:p>
        </w:tc>
        <w:tc>
          <w:tcPr>
            <w:tcW w:w="613" w:type="pct"/>
            <w:tcBorders>
              <w:top w:val="nil"/>
              <w:left w:val="nil"/>
              <w:bottom w:val="single" w:sz="8" w:space="0" w:color="000000"/>
              <w:right w:val="single" w:sz="8" w:space="0" w:color="000000"/>
            </w:tcBorders>
            <w:shd w:val="clear" w:color="auto" w:fill="auto"/>
            <w:noWrap/>
            <w:vAlign w:val="center"/>
            <w:hideMark/>
          </w:tcPr>
          <w:p w14:paraId="6FFC5D37"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7,51%</w:t>
            </w:r>
          </w:p>
        </w:tc>
        <w:tc>
          <w:tcPr>
            <w:tcW w:w="613" w:type="pct"/>
            <w:tcBorders>
              <w:top w:val="nil"/>
              <w:left w:val="nil"/>
              <w:bottom w:val="single" w:sz="8" w:space="0" w:color="000000"/>
              <w:right w:val="single" w:sz="8" w:space="0" w:color="000000"/>
            </w:tcBorders>
            <w:shd w:val="clear" w:color="auto" w:fill="auto"/>
            <w:noWrap/>
            <w:vAlign w:val="center"/>
            <w:hideMark/>
          </w:tcPr>
          <w:p w14:paraId="3F90F473"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7,42%</w:t>
            </w:r>
          </w:p>
        </w:tc>
      </w:tr>
      <w:tr w:rsidR="0070377F" w:rsidRPr="007B24CA" w14:paraId="76FE3485"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vAlign w:val="center"/>
            <w:hideMark/>
          </w:tcPr>
          <w:p w14:paraId="67515AFB" w14:textId="77777777" w:rsidR="0070377F" w:rsidRPr="007B24CA" w:rsidRDefault="0070377F" w:rsidP="00150DF6">
            <w:pPr>
              <w:rPr>
                <w:rFonts w:ascii="Times New Roman" w:hAnsi="Times New Roman"/>
                <w:color w:val="000000"/>
                <w:sz w:val="20"/>
              </w:rPr>
            </w:pPr>
            <w:r w:rsidRPr="007B24CA">
              <w:rPr>
                <w:rFonts w:ascii="Times New Roman" w:hAnsi="Times New Roman"/>
                <w:color w:val="000000"/>
                <w:sz w:val="20"/>
              </w:rPr>
              <w:t>Остали текући расходи</w:t>
            </w:r>
          </w:p>
        </w:tc>
        <w:tc>
          <w:tcPr>
            <w:tcW w:w="539" w:type="pct"/>
            <w:tcBorders>
              <w:top w:val="nil"/>
              <w:left w:val="nil"/>
              <w:bottom w:val="single" w:sz="8" w:space="0" w:color="000000"/>
              <w:right w:val="single" w:sz="8" w:space="0" w:color="000000"/>
            </w:tcBorders>
            <w:shd w:val="clear" w:color="auto" w:fill="auto"/>
            <w:noWrap/>
            <w:vAlign w:val="center"/>
            <w:hideMark/>
          </w:tcPr>
          <w:p w14:paraId="371C2EB8"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58,33</w:t>
            </w:r>
          </w:p>
        </w:tc>
        <w:tc>
          <w:tcPr>
            <w:tcW w:w="590" w:type="pct"/>
            <w:tcBorders>
              <w:top w:val="nil"/>
              <w:left w:val="nil"/>
              <w:bottom w:val="single" w:sz="8" w:space="0" w:color="000000"/>
              <w:right w:val="single" w:sz="8" w:space="0" w:color="000000"/>
            </w:tcBorders>
            <w:shd w:val="clear" w:color="auto" w:fill="auto"/>
            <w:noWrap/>
            <w:vAlign w:val="center"/>
            <w:hideMark/>
          </w:tcPr>
          <w:p w14:paraId="4F391306"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53,73</w:t>
            </w:r>
          </w:p>
        </w:tc>
        <w:tc>
          <w:tcPr>
            <w:tcW w:w="438" w:type="pct"/>
            <w:tcBorders>
              <w:top w:val="nil"/>
              <w:left w:val="nil"/>
              <w:bottom w:val="single" w:sz="8" w:space="0" w:color="000000"/>
              <w:right w:val="single" w:sz="8" w:space="0" w:color="000000"/>
            </w:tcBorders>
            <w:shd w:val="clear" w:color="auto" w:fill="auto"/>
            <w:noWrap/>
            <w:vAlign w:val="center"/>
            <w:hideMark/>
          </w:tcPr>
          <w:p w14:paraId="5B9BA046"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92,10</w:t>
            </w:r>
          </w:p>
        </w:tc>
        <w:tc>
          <w:tcPr>
            <w:tcW w:w="613" w:type="pct"/>
            <w:tcBorders>
              <w:top w:val="nil"/>
              <w:left w:val="nil"/>
              <w:bottom w:val="single" w:sz="8" w:space="0" w:color="000000"/>
              <w:right w:val="single" w:sz="8" w:space="0" w:color="000000"/>
            </w:tcBorders>
            <w:shd w:val="clear" w:color="auto" w:fill="auto"/>
            <w:noWrap/>
            <w:vAlign w:val="center"/>
            <w:hideMark/>
          </w:tcPr>
          <w:p w14:paraId="7C608820"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2,39%</w:t>
            </w:r>
          </w:p>
        </w:tc>
        <w:tc>
          <w:tcPr>
            <w:tcW w:w="613" w:type="pct"/>
            <w:tcBorders>
              <w:top w:val="nil"/>
              <w:left w:val="nil"/>
              <w:bottom w:val="single" w:sz="8" w:space="0" w:color="000000"/>
              <w:right w:val="single" w:sz="8" w:space="0" w:color="000000"/>
            </w:tcBorders>
            <w:shd w:val="clear" w:color="auto" w:fill="auto"/>
            <w:noWrap/>
            <w:vAlign w:val="center"/>
            <w:hideMark/>
          </w:tcPr>
          <w:p w14:paraId="1E5326A4" w14:textId="77777777" w:rsidR="0070377F" w:rsidRPr="007B24CA" w:rsidRDefault="0070377F" w:rsidP="00150DF6">
            <w:pPr>
              <w:jc w:val="right"/>
              <w:rPr>
                <w:rFonts w:ascii="Times New Roman" w:hAnsi="Times New Roman"/>
                <w:color w:val="000000"/>
                <w:sz w:val="20"/>
              </w:rPr>
            </w:pPr>
            <w:r w:rsidRPr="007B24CA">
              <w:rPr>
                <w:rFonts w:ascii="Times New Roman" w:hAnsi="Times New Roman"/>
                <w:color w:val="000000"/>
                <w:sz w:val="20"/>
              </w:rPr>
              <w:t>2,02%</w:t>
            </w:r>
          </w:p>
        </w:tc>
      </w:tr>
      <w:tr w:rsidR="0070377F" w:rsidRPr="007B24CA" w14:paraId="00CB7313" w14:textId="77777777" w:rsidTr="00150DF6">
        <w:trPr>
          <w:trHeight w:val="315"/>
        </w:trPr>
        <w:tc>
          <w:tcPr>
            <w:tcW w:w="2206" w:type="pct"/>
            <w:tcBorders>
              <w:top w:val="nil"/>
              <w:left w:val="single" w:sz="8" w:space="0" w:color="000000"/>
              <w:bottom w:val="single" w:sz="8" w:space="0" w:color="000000"/>
              <w:right w:val="single" w:sz="8" w:space="0" w:color="000000"/>
            </w:tcBorders>
            <w:shd w:val="clear" w:color="auto" w:fill="auto"/>
            <w:noWrap/>
            <w:vAlign w:val="center"/>
            <w:hideMark/>
          </w:tcPr>
          <w:p w14:paraId="1131D572" w14:textId="77777777" w:rsidR="0070377F" w:rsidRPr="007B24CA" w:rsidRDefault="0070377F" w:rsidP="00150DF6">
            <w:pPr>
              <w:rPr>
                <w:rFonts w:ascii="Times New Roman" w:hAnsi="Times New Roman"/>
                <w:b/>
                <w:bCs/>
                <w:color w:val="000000"/>
                <w:sz w:val="20"/>
              </w:rPr>
            </w:pPr>
            <w:r w:rsidRPr="007B24CA">
              <w:rPr>
                <w:rFonts w:ascii="Times New Roman" w:hAnsi="Times New Roman"/>
                <w:b/>
                <w:bCs/>
                <w:color w:val="000000"/>
                <w:sz w:val="20"/>
              </w:rPr>
              <w:t>Издаци за нефинансијску имовину</w:t>
            </w:r>
          </w:p>
        </w:tc>
        <w:tc>
          <w:tcPr>
            <w:tcW w:w="539" w:type="pct"/>
            <w:tcBorders>
              <w:top w:val="nil"/>
              <w:left w:val="nil"/>
              <w:bottom w:val="single" w:sz="8" w:space="0" w:color="000000"/>
              <w:right w:val="single" w:sz="8" w:space="0" w:color="000000"/>
            </w:tcBorders>
            <w:shd w:val="clear" w:color="auto" w:fill="auto"/>
            <w:noWrap/>
            <w:vAlign w:val="center"/>
            <w:hideMark/>
          </w:tcPr>
          <w:p w14:paraId="3FD62518"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569,86</w:t>
            </w:r>
          </w:p>
        </w:tc>
        <w:tc>
          <w:tcPr>
            <w:tcW w:w="590" w:type="pct"/>
            <w:tcBorders>
              <w:top w:val="nil"/>
              <w:left w:val="nil"/>
              <w:bottom w:val="single" w:sz="8" w:space="0" w:color="000000"/>
              <w:right w:val="single" w:sz="8" w:space="0" w:color="000000"/>
            </w:tcBorders>
            <w:shd w:val="clear" w:color="auto" w:fill="auto"/>
            <w:noWrap/>
            <w:vAlign w:val="center"/>
            <w:hideMark/>
          </w:tcPr>
          <w:p w14:paraId="1559E9C8"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612,59</w:t>
            </w:r>
          </w:p>
        </w:tc>
        <w:tc>
          <w:tcPr>
            <w:tcW w:w="438" w:type="pct"/>
            <w:tcBorders>
              <w:top w:val="nil"/>
              <w:left w:val="nil"/>
              <w:bottom w:val="single" w:sz="8" w:space="0" w:color="000000"/>
              <w:right w:val="single" w:sz="8" w:space="0" w:color="000000"/>
            </w:tcBorders>
            <w:shd w:val="clear" w:color="auto" w:fill="auto"/>
            <w:noWrap/>
            <w:vAlign w:val="center"/>
            <w:hideMark/>
          </w:tcPr>
          <w:p w14:paraId="356A4BE3"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107,50</w:t>
            </w:r>
          </w:p>
        </w:tc>
        <w:tc>
          <w:tcPr>
            <w:tcW w:w="613" w:type="pct"/>
            <w:tcBorders>
              <w:top w:val="nil"/>
              <w:left w:val="nil"/>
              <w:bottom w:val="single" w:sz="8" w:space="0" w:color="000000"/>
              <w:right w:val="single" w:sz="8" w:space="0" w:color="000000"/>
            </w:tcBorders>
            <w:shd w:val="clear" w:color="auto" w:fill="auto"/>
            <w:noWrap/>
            <w:vAlign w:val="center"/>
            <w:hideMark/>
          </w:tcPr>
          <w:p w14:paraId="49EE2013"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23,39%</w:t>
            </w:r>
          </w:p>
        </w:tc>
        <w:tc>
          <w:tcPr>
            <w:tcW w:w="613" w:type="pct"/>
            <w:tcBorders>
              <w:top w:val="nil"/>
              <w:left w:val="nil"/>
              <w:bottom w:val="single" w:sz="8" w:space="0" w:color="000000"/>
              <w:right w:val="single" w:sz="8" w:space="0" w:color="000000"/>
            </w:tcBorders>
            <w:shd w:val="clear" w:color="auto" w:fill="auto"/>
            <w:noWrap/>
            <w:vAlign w:val="center"/>
            <w:hideMark/>
          </w:tcPr>
          <w:p w14:paraId="4F516639"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23,03%</w:t>
            </w:r>
          </w:p>
        </w:tc>
      </w:tr>
      <w:tr w:rsidR="0070377F" w:rsidRPr="007B24CA" w14:paraId="2D7ECC99" w14:textId="77777777" w:rsidTr="00150DF6">
        <w:trPr>
          <w:trHeight w:val="525"/>
        </w:trPr>
        <w:tc>
          <w:tcPr>
            <w:tcW w:w="2206" w:type="pct"/>
            <w:tcBorders>
              <w:top w:val="nil"/>
              <w:left w:val="single" w:sz="8" w:space="0" w:color="000000"/>
              <w:bottom w:val="single" w:sz="8" w:space="0" w:color="000000"/>
              <w:right w:val="single" w:sz="8" w:space="0" w:color="000000"/>
            </w:tcBorders>
            <w:shd w:val="clear" w:color="auto" w:fill="auto"/>
            <w:vAlign w:val="center"/>
            <w:hideMark/>
          </w:tcPr>
          <w:p w14:paraId="180A55A1" w14:textId="77777777" w:rsidR="0070377F" w:rsidRPr="007B24CA" w:rsidRDefault="0070377F" w:rsidP="00150DF6">
            <w:pPr>
              <w:rPr>
                <w:rFonts w:ascii="Times New Roman" w:hAnsi="Times New Roman"/>
                <w:b/>
                <w:bCs/>
                <w:color w:val="000000"/>
                <w:sz w:val="20"/>
              </w:rPr>
            </w:pPr>
            <w:r w:rsidRPr="007B24CA">
              <w:rPr>
                <w:rFonts w:ascii="Times New Roman" w:hAnsi="Times New Roman"/>
                <w:b/>
                <w:bCs/>
                <w:color w:val="000000"/>
                <w:sz w:val="20"/>
              </w:rPr>
              <w:t xml:space="preserve">Издаци за отплату главнице (у циљу спровођења јавних политика)                                           </w:t>
            </w:r>
          </w:p>
        </w:tc>
        <w:tc>
          <w:tcPr>
            <w:tcW w:w="539" w:type="pct"/>
            <w:tcBorders>
              <w:top w:val="nil"/>
              <w:left w:val="nil"/>
              <w:bottom w:val="single" w:sz="8" w:space="0" w:color="000000"/>
              <w:right w:val="single" w:sz="8" w:space="0" w:color="000000"/>
            </w:tcBorders>
            <w:shd w:val="clear" w:color="auto" w:fill="auto"/>
            <w:noWrap/>
            <w:vAlign w:val="center"/>
            <w:hideMark/>
          </w:tcPr>
          <w:p w14:paraId="5F83BE08"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28,50</w:t>
            </w:r>
          </w:p>
        </w:tc>
        <w:tc>
          <w:tcPr>
            <w:tcW w:w="590" w:type="pct"/>
            <w:tcBorders>
              <w:top w:val="nil"/>
              <w:left w:val="nil"/>
              <w:bottom w:val="single" w:sz="8" w:space="0" w:color="000000"/>
              <w:right w:val="single" w:sz="8" w:space="0" w:color="000000"/>
            </w:tcBorders>
            <w:shd w:val="clear" w:color="auto" w:fill="auto"/>
            <w:noWrap/>
            <w:vAlign w:val="center"/>
            <w:hideMark/>
          </w:tcPr>
          <w:p w14:paraId="5C1E1541"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22,05</w:t>
            </w:r>
          </w:p>
        </w:tc>
        <w:tc>
          <w:tcPr>
            <w:tcW w:w="438" w:type="pct"/>
            <w:tcBorders>
              <w:top w:val="nil"/>
              <w:left w:val="nil"/>
              <w:bottom w:val="single" w:sz="8" w:space="0" w:color="000000"/>
              <w:right w:val="single" w:sz="8" w:space="0" w:color="000000"/>
            </w:tcBorders>
            <w:shd w:val="clear" w:color="auto" w:fill="auto"/>
            <w:noWrap/>
            <w:vAlign w:val="center"/>
            <w:hideMark/>
          </w:tcPr>
          <w:p w14:paraId="092246C4"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77,38</w:t>
            </w:r>
          </w:p>
        </w:tc>
        <w:tc>
          <w:tcPr>
            <w:tcW w:w="613" w:type="pct"/>
            <w:tcBorders>
              <w:top w:val="nil"/>
              <w:left w:val="nil"/>
              <w:bottom w:val="single" w:sz="8" w:space="0" w:color="000000"/>
              <w:right w:val="single" w:sz="8" w:space="0" w:color="000000"/>
            </w:tcBorders>
            <w:shd w:val="clear" w:color="auto" w:fill="auto"/>
            <w:noWrap/>
            <w:vAlign w:val="center"/>
            <w:hideMark/>
          </w:tcPr>
          <w:p w14:paraId="0301931E"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1,17%</w:t>
            </w:r>
          </w:p>
        </w:tc>
        <w:tc>
          <w:tcPr>
            <w:tcW w:w="613" w:type="pct"/>
            <w:tcBorders>
              <w:top w:val="nil"/>
              <w:left w:val="nil"/>
              <w:bottom w:val="single" w:sz="8" w:space="0" w:color="000000"/>
              <w:right w:val="single" w:sz="8" w:space="0" w:color="000000"/>
            </w:tcBorders>
            <w:shd w:val="clear" w:color="auto" w:fill="auto"/>
            <w:noWrap/>
            <w:vAlign w:val="center"/>
            <w:hideMark/>
          </w:tcPr>
          <w:p w14:paraId="6E758511"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0,83%</w:t>
            </w:r>
          </w:p>
        </w:tc>
      </w:tr>
      <w:tr w:rsidR="0070377F" w:rsidRPr="007B24CA" w14:paraId="615745E0" w14:textId="77777777" w:rsidTr="00150DF6">
        <w:trPr>
          <w:trHeight w:val="525"/>
        </w:trPr>
        <w:tc>
          <w:tcPr>
            <w:tcW w:w="2206" w:type="pct"/>
            <w:tcBorders>
              <w:top w:val="nil"/>
              <w:left w:val="single" w:sz="8" w:space="0" w:color="000000"/>
              <w:bottom w:val="single" w:sz="8" w:space="0" w:color="000000"/>
              <w:right w:val="single" w:sz="8" w:space="0" w:color="000000"/>
            </w:tcBorders>
            <w:shd w:val="clear" w:color="auto" w:fill="auto"/>
            <w:vAlign w:val="center"/>
            <w:hideMark/>
          </w:tcPr>
          <w:p w14:paraId="747BD7E1" w14:textId="77777777" w:rsidR="0070377F" w:rsidRPr="007B24CA" w:rsidRDefault="0070377F" w:rsidP="00150DF6">
            <w:pPr>
              <w:rPr>
                <w:rFonts w:ascii="Times New Roman" w:hAnsi="Times New Roman"/>
                <w:b/>
                <w:bCs/>
                <w:color w:val="000000"/>
                <w:sz w:val="20"/>
              </w:rPr>
            </w:pPr>
            <w:r w:rsidRPr="007B24CA">
              <w:rPr>
                <w:rFonts w:ascii="Times New Roman" w:hAnsi="Times New Roman"/>
                <w:b/>
                <w:bCs/>
                <w:color w:val="000000"/>
                <w:sz w:val="20"/>
              </w:rPr>
              <w:t xml:space="preserve">Издаци за набавку финансијске имовине  (у циљу спровођења јавних политика)                                           </w:t>
            </w:r>
          </w:p>
        </w:tc>
        <w:tc>
          <w:tcPr>
            <w:tcW w:w="539" w:type="pct"/>
            <w:tcBorders>
              <w:top w:val="nil"/>
              <w:left w:val="nil"/>
              <w:bottom w:val="single" w:sz="8" w:space="0" w:color="000000"/>
              <w:right w:val="single" w:sz="8" w:space="0" w:color="000000"/>
            </w:tcBorders>
            <w:shd w:val="clear" w:color="auto" w:fill="auto"/>
            <w:noWrap/>
            <w:vAlign w:val="center"/>
            <w:hideMark/>
          </w:tcPr>
          <w:p w14:paraId="4E15CBD2"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18,57</w:t>
            </w:r>
          </w:p>
        </w:tc>
        <w:tc>
          <w:tcPr>
            <w:tcW w:w="590" w:type="pct"/>
            <w:tcBorders>
              <w:top w:val="nil"/>
              <w:left w:val="nil"/>
              <w:bottom w:val="single" w:sz="8" w:space="0" w:color="000000"/>
              <w:right w:val="single" w:sz="8" w:space="0" w:color="000000"/>
            </w:tcBorders>
            <w:shd w:val="clear" w:color="auto" w:fill="auto"/>
            <w:noWrap/>
            <w:vAlign w:val="center"/>
            <w:hideMark/>
          </w:tcPr>
          <w:p w14:paraId="35392582"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23,45</w:t>
            </w:r>
          </w:p>
        </w:tc>
        <w:tc>
          <w:tcPr>
            <w:tcW w:w="438" w:type="pct"/>
            <w:tcBorders>
              <w:top w:val="nil"/>
              <w:left w:val="nil"/>
              <w:bottom w:val="single" w:sz="8" w:space="0" w:color="000000"/>
              <w:right w:val="single" w:sz="8" w:space="0" w:color="000000"/>
            </w:tcBorders>
            <w:shd w:val="clear" w:color="auto" w:fill="auto"/>
            <w:noWrap/>
            <w:vAlign w:val="center"/>
            <w:hideMark/>
          </w:tcPr>
          <w:p w14:paraId="6C60CD7B"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126,29</w:t>
            </w:r>
          </w:p>
        </w:tc>
        <w:tc>
          <w:tcPr>
            <w:tcW w:w="613" w:type="pct"/>
            <w:tcBorders>
              <w:top w:val="nil"/>
              <w:left w:val="nil"/>
              <w:bottom w:val="single" w:sz="8" w:space="0" w:color="000000"/>
              <w:right w:val="single" w:sz="8" w:space="0" w:color="000000"/>
            </w:tcBorders>
            <w:shd w:val="clear" w:color="auto" w:fill="auto"/>
            <w:noWrap/>
            <w:vAlign w:val="center"/>
            <w:hideMark/>
          </w:tcPr>
          <w:p w14:paraId="58B7DF0B"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0,76%</w:t>
            </w:r>
          </w:p>
        </w:tc>
        <w:tc>
          <w:tcPr>
            <w:tcW w:w="613" w:type="pct"/>
            <w:tcBorders>
              <w:top w:val="nil"/>
              <w:left w:val="nil"/>
              <w:bottom w:val="single" w:sz="8" w:space="0" w:color="000000"/>
              <w:right w:val="single" w:sz="8" w:space="0" w:color="000000"/>
            </w:tcBorders>
            <w:shd w:val="clear" w:color="auto" w:fill="auto"/>
            <w:noWrap/>
            <w:vAlign w:val="center"/>
            <w:hideMark/>
          </w:tcPr>
          <w:p w14:paraId="20F49079" w14:textId="77777777" w:rsidR="0070377F" w:rsidRPr="007B24CA" w:rsidRDefault="0070377F" w:rsidP="00150DF6">
            <w:pPr>
              <w:jc w:val="right"/>
              <w:rPr>
                <w:rFonts w:ascii="Times New Roman" w:hAnsi="Times New Roman"/>
                <w:b/>
                <w:bCs/>
                <w:color w:val="000000"/>
                <w:sz w:val="20"/>
              </w:rPr>
            </w:pPr>
            <w:r w:rsidRPr="007B24CA">
              <w:rPr>
                <w:rFonts w:ascii="Times New Roman" w:hAnsi="Times New Roman"/>
                <w:b/>
                <w:bCs/>
                <w:color w:val="000000"/>
                <w:sz w:val="20"/>
              </w:rPr>
              <w:t>0,88%</w:t>
            </w:r>
          </w:p>
        </w:tc>
      </w:tr>
    </w:tbl>
    <w:p w14:paraId="5B91EC13" w14:textId="77777777" w:rsidR="00AC18C4" w:rsidRPr="00E00086" w:rsidRDefault="00AC18C4" w:rsidP="002201E2">
      <w:pPr>
        <w:tabs>
          <w:tab w:val="left" w:pos="720"/>
        </w:tabs>
        <w:spacing w:after="120"/>
        <w:rPr>
          <w:rFonts w:ascii="Times New Roman" w:hAnsi="Times New Roman"/>
          <w:bCs/>
          <w:szCs w:val="24"/>
          <w:lang w:val="sr-Cyrl-RS"/>
        </w:rPr>
      </w:pPr>
    </w:p>
    <w:p w14:paraId="7588B5CD" w14:textId="3A9E73AA" w:rsidR="00A85EA2" w:rsidRPr="00E00086" w:rsidRDefault="00EF196B" w:rsidP="00761E0F">
      <w:pPr>
        <w:tabs>
          <w:tab w:val="left" w:pos="720"/>
        </w:tabs>
        <w:spacing w:after="120"/>
        <w:rPr>
          <w:rFonts w:ascii="Times New Roman" w:hAnsi="Times New Roman"/>
          <w:b/>
          <w:bCs/>
          <w:szCs w:val="24"/>
          <w:lang w:val="sr-Cyrl-RS"/>
        </w:rPr>
      </w:pPr>
      <w:r w:rsidRPr="00E00086">
        <w:rPr>
          <w:rFonts w:ascii="Times New Roman" w:hAnsi="Times New Roman"/>
          <w:b/>
          <w:bCs/>
          <w:szCs w:val="24"/>
          <w:lang w:val="sr-Cyrl-RS"/>
        </w:rPr>
        <w:t xml:space="preserve">Расходи и издаци буџета </w:t>
      </w:r>
      <w:r w:rsidR="00493E41" w:rsidRPr="00E00086">
        <w:rPr>
          <w:rFonts w:ascii="Times New Roman" w:hAnsi="Times New Roman"/>
          <w:b/>
          <w:bCs/>
          <w:szCs w:val="24"/>
          <w:lang w:val="sr-Cyrl-RS"/>
        </w:rPr>
        <w:t>202</w:t>
      </w:r>
      <w:r w:rsidR="00527DD4" w:rsidRPr="00E00086">
        <w:rPr>
          <w:rFonts w:ascii="Times New Roman" w:hAnsi="Times New Roman"/>
          <w:b/>
          <w:bCs/>
          <w:szCs w:val="24"/>
          <w:lang w:val="sr-Cyrl-RS"/>
        </w:rPr>
        <w:t>5</w:t>
      </w:r>
      <w:r w:rsidRPr="00E00086">
        <w:rPr>
          <w:rFonts w:ascii="Times New Roman" w:hAnsi="Times New Roman"/>
          <w:b/>
          <w:bCs/>
          <w:szCs w:val="24"/>
          <w:lang w:val="sr-Cyrl-RS"/>
        </w:rPr>
        <w:t>. години (у млрд динара)</w:t>
      </w:r>
    </w:p>
    <w:p w14:paraId="028B1944" w14:textId="409865D0" w:rsidR="00AE51F8" w:rsidRPr="00E00086" w:rsidRDefault="00AE51F8" w:rsidP="00A85EA2">
      <w:pPr>
        <w:spacing w:after="120"/>
        <w:ind w:firstLine="720"/>
        <w:contextualSpacing/>
        <w:rPr>
          <w:rFonts w:ascii="Times New Roman" w:eastAsia="Calibri" w:hAnsi="Times New Roman"/>
          <w:szCs w:val="24"/>
          <w:lang w:val="sr-Cyrl-RS"/>
        </w:rPr>
      </w:pPr>
      <w:r w:rsidRPr="00E00086">
        <w:rPr>
          <w:rFonts w:ascii="Times New Roman" w:eastAsia="Calibri" w:hAnsi="Times New Roman"/>
          <w:szCs w:val="24"/>
          <w:lang w:val="sr-Cyrl-RS"/>
        </w:rPr>
        <w:t xml:space="preserve">У структури укупних расхода и издатака текући расходи износе </w:t>
      </w:r>
      <w:r w:rsidR="00C52189">
        <w:rPr>
          <w:rFonts w:ascii="Times New Roman" w:eastAsia="Calibri" w:hAnsi="Times New Roman"/>
          <w:szCs w:val="24"/>
          <w:lang w:val="sr-Latn-RS"/>
        </w:rPr>
        <w:t>2.002,</w:t>
      </w:r>
      <w:r w:rsidR="00934368">
        <w:rPr>
          <w:rFonts w:ascii="Times New Roman" w:eastAsia="Calibri" w:hAnsi="Times New Roman"/>
          <w:szCs w:val="24"/>
          <w:lang w:val="sr-Latn-RS"/>
        </w:rPr>
        <w:t>11</w:t>
      </w:r>
      <w:r w:rsidRPr="00E00086">
        <w:rPr>
          <w:rFonts w:ascii="Times New Roman" w:eastAsia="Calibri" w:hAnsi="Times New Roman"/>
          <w:szCs w:val="24"/>
          <w:lang w:val="sr-Cyrl-RS"/>
        </w:rPr>
        <w:t xml:space="preserve"> млрд динара или </w:t>
      </w:r>
      <w:r w:rsidR="005F2B5F" w:rsidRPr="00E00086">
        <w:rPr>
          <w:rFonts w:ascii="Times New Roman" w:eastAsia="Calibri" w:hAnsi="Times New Roman"/>
          <w:szCs w:val="24"/>
          <w:lang w:val="sr-Cyrl-RS"/>
        </w:rPr>
        <w:t>75,2</w:t>
      </w:r>
      <w:r w:rsidR="00934368">
        <w:rPr>
          <w:rFonts w:ascii="Times New Roman" w:eastAsia="Calibri" w:hAnsi="Times New Roman"/>
          <w:szCs w:val="24"/>
          <w:lang w:val="sr-Latn-RS"/>
        </w:rPr>
        <w:t>6</w:t>
      </w:r>
      <w:r w:rsidR="005F2B5F" w:rsidRPr="00E00086">
        <w:rPr>
          <w:rFonts w:ascii="Times New Roman" w:eastAsia="Calibri" w:hAnsi="Times New Roman"/>
          <w:szCs w:val="24"/>
          <w:lang w:val="sr-Cyrl-RS"/>
        </w:rPr>
        <w:t>%</w:t>
      </w:r>
      <w:r w:rsidRPr="00E00086">
        <w:rPr>
          <w:rFonts w:ascii="Times New Roman" w:eastAsia="Calibri" w:hAnsi="Times New Roman"/>
          <w:szCs w:val="24"/>
          <w:lang w:val="sr-Cyrl-RS"/>
        </w:rPr>
        <w:t xml:space="preserve"> издаци за нефинансијску имовину износе </w:t>
      </w:r>
      <w:r w:rsidR="005E34BF">
        <w:rPr>
          <w:rFonts w:ascii="Times New Roman" w:eastAsia="Calibri" w:hAnsi="Times New Roman"/>
          <w:szCs w:val="24"/>
          <w:lang w:val="sr-Latn-RS"/>
        </w:rPr>
        <w:t>612,</w:t>
      </w:r>
      <w:r w:rsidR="00934368">
        <w:rPr>
          <w:rFonts w:ascii="Times New Roman" w:eastAsia="Calibri" w:hAnsi="Times New Roman"/>
          <w:szCs w:val="24"/>
          <w:lang w:val="sr-Latn-RS"/>
        </w:rPr>
        <w:t>59</w:t>
      </w:r>
      <w:r w:rsidR="00DD66E4" w:rsidRPr="00E00086">
        <w:rPr>
          <w:rFonts w:ascii="Times New Roman" w:eastAsia="Calibri" w:hAnsi="Times New Roman"/>
          <w:szCs w:val="24"/>
          <w:lang w:val="sr-Cyrl-RS"/>
        </w:rPr>
        <w:t xml:space="preserve"> </w:t>
      </w:r>
      <w:r w:rsidRPr="00E00086">
        <w:rPr>
          <w:rFonts w:ascii="Times New Roman" w:eastAsia="Calibri" w:hAnsi="Times New Roman"/>
          <w:szCs w:val="24"/>
          <w:lang w:val="sr-Cyrl-RS"/>
        </w:rPr>
        <w:t xml:space="preserve">млрд динара или </w:t>
      </w:r>
      <w:r w:rsidR="00805D83" w:rsidRPr="00E00086">
        <w:rPr>
          <w:rFonts w:ascii="Times New Roman" w:eastAsia="Calibri" w:hAnsi="Times New Roman"/>
          <w:szCs w:val="24"/>
          <w:lang w:val="sr-Cyrl-RS"/>
        </w:rPr>
        <w:t>2</w:t>
      </w:r>
      <w:r w:rsidR="005F2B5F" w:rsidRPr="00E00086">
        <w:rPr>
          <w:rFonts w:ascii="Times New Roman" w:eastAsia="Calibri" w:hAnsi="Times New Roman"/>
          <w:szCs w:val="24"/>
          <w:lang w:val="sr-Cyrl-RS"/>
        </w:rPr>
        <w:t>3,0</w:t>
      </w:r>
      <w:r w:rsidR="00934368">
        <w:rPr>
          <w:rFonts w:ascii="Times New Roman" w:eastAsia="Calibri" w:hAnsi="Times New Roman"/>
          <w:szCs w:val="24"/>
          <w:lang w:val="sr-Latn-RS"/>
        </w:rPr>
        <w:t>3</w:t>
      </w:r>
      <w:r w:rsidRPr="00E00086">
        <w:rPr>
          <w:rFonts w:ascii="Times New Roman" w:eastAsia="Calibri" w:hAnsi="Times New Roman"/>
          <w:szCs w:val="24"/>
          <w:lang w:val="sr-Cyrl-RS"/>
        </w:rPr>
        <w:t xml:space="preserve">%. Остатак чине издаци за отплату главнице у циљу спровођења јавних политика у износу од </w:t>
      </w:r>
      <w:r w:rsidR="00075A1C" w:rsidRPr="00E00086">
        <w:rPr>
          <w:rFonts w:ascii="Times New Roman" w:eastAsia="Calibri" w:hAnsi="Times New Roman"/>
          <w:szCs w:val="24"/>
          <w:lang w:val="sr-Cyrl-RS"/>
        </w:rPr>
        <w:t>22,05</w:t>
      </w:r>
      <w:r w:rsidRPr="00E00086">
        <w:rPr>
          <w:rFonts w:ascii="Times New Roman" w:eastAsia="Calibri" w:hAnsi="Times New Roman"/>
          <w:szCs w:val="24"/>
          <w:lang w:val="sr-Cyrl-RS"/>
        </w:rPr>
        <w:t xml:space="preserve"> млрд динара или </w:t>
      </w:r>
      <w:r w:rsidR="005F2B5F" w:rsidRPr="00E00086">
        <w:rPr>
          <w:rFonts w:ascii="Times New Roman" w:eastAsia="Calibri" w:hAnsi="Times New Roman"/>
          <w:szCs w:val="24"/>
          <w:lang w:val="sr-Cyrl-RS"/>
        </w:rPr>
        <w:t>0,83</w:t>
      </w:r>
      <w:r w:rsidRPr="00E00086">
        <w:rPr>
          <w:rFonts w:ascii="Times New Roman" w:eastAsia="Calibri" w:hAnsi="Times New Roman"/>
          <w:szCs w:val="24"/>
          <w:lang w:val="sr-Cyrl-RS"/>
        </w:rPr>
        <w:t xml:space="preserve">% укупних расхода и издатака и издаци за набавку финансијске имовине у циљу спровођења јавних политика у износу од </w:t>
      </w:r>
      <w:r w:rsidR="000F7286" w:rsidRPr="00E00086">
        <w:rPr>
          <w:rFonts w:ascii="Times New Roman" w:eastAsia="Calibri" w:hAnsi="Times New Roman"/>
          <w:szCs w:val="24"/>
          <w:lang w:val="sr-Cyrl-RS"/>
        </w:rPr>
        <w:t>23,45</w:t>
      </w:r>
      <w:r w:rsidRPr="00E00086">
        <w:rPr>
          <w:rFonts w:ascii="Times New Roman" w:eastAsia="Calibri" w:hAnsi="Times New Roman"/>
          <w:szCs w:val="24"/>
          <w:lang w:val="sr-Cyrl-RS"/>
        </w:rPr>
        <w:t xml:space="preserve"> млрд динара или </w:t>
      </w:r>
      <w:r w:rsidR="005F2B5F" w:rsidRPr="00E00086">
        <w:rPr>
          <w:rFonts w:ascii="Times New Roman" w:eastAsia="Calibri" w:hAnsi="Times New Roman"/>
          <w:szCs w:val="24"/>
          <w:lang w:val="sr-Cyrl-RS"/>
        </w:rPr>
        <w:t>0,88</w:t>
      </w:r>
      <w:r w:rsidRPr="00E00086">
        <w:rPr>
          <w:rFonts w:ascii="Times New Roman" w:eastAsia="Calibri" w:hAnsi="Times New Roman"/>
          <w:szCs w:val="24"/>
          <w:lang w:val="sr-Cyrl-RS"/>
        </w:rPr>
        <w:t xml:space="preserve">% укупних расхода и издатака. </w:t>
      </w:r>
    </w:p>
    <w:p w14:paraId="3143AEBB" w14:textId="68133678" w:rsidR="0055204A" w:rsidRPr="00E00086" w:rsidRDefault="0055204A" w:rsidP="0055204A">
      <w:pPr>
        <w:spacing w:after="120"/>
        <w:contextualSpacing/>
        <w:rPr>
          <w:rFonts w:ascii="Times New Roman" w:eastAsia="Calibri" w:hAnsi="Times New Roman"/>
          <w:szCs w:val="24"/>
          <w:lang w:val="sr-Cyrl-RS"/>
        </w:rPr>
      </w:pPr>
    </w:p>
    <w:p w14:paraId="11485C93" w14:textId="0192FE99" w:rsidR="00761E0F" w:rsidRPr="00E00086" w:rsidRDefault="00761E0F" w:rsidP="0055204A">
      <w:pPr>
        <w:spacing w:after="120"/>
        <w:contextualSpacing/>
        <w:rPr>
          <w:rFonts w:ascii="Times New Roman" w:eastAsia="Calibri" w:hAnsi="Times New Roman"/>
          <w:szCs w:val="24"/>
          <w:lang w:val="sr-Cyrl-RS"/>
        </w:rPr>
      </w:pPr>
    </w:p>
    <w:p w14:paraId="5FF7EA85" w14:textId="78CED5F7" w:rsidR="00EE2BE9" w:rsidRPr="00E00086" w:rsidRDefault="00C540C9" w:rsidP="00E222C6">
      <w:pPr>
        <w:spacing w:after="120"/>
        <w:ind w:firstLine="720"/>
        <w:contextualSpacing/>
        <w:rPr>
          <w:rFonts w:ascii="Times New Roman" w:hAnsi="Times New Roman"/>
          <w:b/>
          <w:szCs w:val="24"/>
          <w:lang w:val="sr-Cyrl-RS"/>
        </w:rPr>
      </w:pPr>
      <w:r>
        <w:rPr>
          <w:noProof/>
        </w:rPr>
        <w:drawing>
          <wp:inline distT="0" distB="0" distL="0" distR="0" wp14:anchorId="31F3683B" wp14:editId="4CFCB0E4">
            <wp:extent cx="5089196" cy="2811913"/>
            <wp:effectExtent l="0" t="0" r="0" b="7620"/>
            <wp:docPr id="2130533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796" cy="2818875"/>
                    </a:xfrm>
                    <a:prstGeom prst="rect">
                      <a:avLst/>
                    </a:prstGeom>
                    <a:noFill/>
                  </pic:spPr>
                </pic:pic>
              </a:graphicData>
            </a:graphic>
          </wp:inline>
        </w:drawing>
      </w:r>
    </w:p>
    <w:p w14:paraId="74934E1E" w14:textId="77777777" w:rsidR="001B2AFC" w:rsidRDefault="001B2AFC" w:rsidP="00E222C6">
      <w:pPr>
        <w:spacing w:after="120"/>
        <w:ind w:firstLine="720"/>
        <w:contextualSpacing/>
        <w:rPr>
          <w:rFonts w:ascii="Times New Roman" w:hAnsi="Times New Roman"/>
          <w:b/>
          <w:szCs w:val="24"/>
          <w:lang w:val="sr-Latn-RS"/>
        </w:rPr>
      </w:pPr>
    </w:p>
    <w:p w14:paraId="332E40B9" w14:textId="00A5FA18" w:rsidR="00571393" w:rsidRPr="00571393" w:rsidRDefault="00571393" w:rsidP="00571393">
      <w:pPr>
        <w:spacing w:after="120"/>
        <w:ind w:firstLine="720"/>
        <w:contextualSpacing/>
        <w:rPr>
          <w:rFonts w:ascii="Times New Roman" w:eastAsia="Calibri" w:hAnsi="Times New Roman"/>
          <w:noProof/>
          <w:szCs w:val="24"/>
          <w:lang w:val="sr-Cyrl-RS"/>
        </w:rPr>
      </w:pPr>
      <w:r w:rsidRPr="005531B6">
        <w:rPr>
          <w:rFonts w:ascii="Times New Roman" w:hAnsi="Times New Roman"/>
          <w:b/>
          <w:noProof/>
          <w:szCs w:val="24"/>
          <w:lang w:val="sr-Cyrl-RS"/>
        </w:rPr>
        <w:lastRenderedPageBreak/>
        <w:t xml:space="preserve">Расходи за </w:t>
      </w:r>
      <w:r w:rsidRPr="00571393">
        <w:rPr>
          <w:rFonts w:ascii="Times New Roman" w:hAnsi="Times New Roman"/>
          <w:b/>
          <w:noProof/>
          <w:szCs w:val="24"/>
          <w:lang w:val="sr-Cyrl-RS"/>
        </w:rPr>
        <w:t>запослене</w:t>
      </w:r>
      <w:r w:rsidRPr="00571393">
        <w:rPr>
          <w:rFonts w:ascii="Times New Roman" w:hAnsi="Times New Roman"/>
          <w:noProof/>
          <w:color w:val="000000"/>
          <w:szCs w:val="24"/>
          <w:lang w:val="sr-Cyrl-RS"/>
        </w:rPr>
        <w:t xml:space="preserve"> износе </w:t>
      </w:r>
      <w:r w:rsidRPr="00571393">
        <w:rPr>
          <w:rFonts w:ascii="Times New Roman" w:hAnsi="Times New Roman"/>
          <w:noProof/>
          <w:color w:val="000000"/>
          <w:szCs w:val="24"/>
          <w:lang w:val="en-GB"/>
        </w:rPr>
        <w:t xml:space="preserve">588,26 </w:t>
      </w:r>
      <w:r w:rsidRPr="00571393">
        <w:rPr>
          <w:rFonts w:ascii="Times New Roman" w:hAnsi="Times New Roman"/>
          <w:noProof/>
          <w:color w:val="000000"/>
          <w:szCs w:val="24"/>
          <w:lang w:val="sr-Cyrl-RS"/>
        </w:rPr>
        <w:t xml:space="preserve">млрд динара. Учешће ових расхода у укупним расходима и издацима је </w:t>
      </w:r>
      <w:r w:rsidRPr="00571393">
        <w:rPr>
          <w:rFonts w:ascii="Times New Roman" w:hAnsi="Times New Roman"/>
          <w:noProof/>
          <w:color w:val="000000"/>
          <w:szCs w:val="24"/>
          <w:lang w:val="en-GB"/>
        </w:rPr>
        <w:t>22,11%.</w:t>
      </w:r>
      <w:r w:rsidRPr="00571393">
        <w:rPr>
          <w:rFonts w:ascii="Times New Roman" w:hAnsi="Times New Roman"/>
          <w:noProof/>
          <w:color w:val="000000"/>
          <w:szCs w:val="24"/>
          <w:lang w:val="sr-Cyrl-RS"/>
        </w:rPr>
        <w:t xml:space="preserve"> </w:t>
      </w:r>
    </w:p>
    <w:p w14:paraId="1075D838" w14:textId="77777777" w:rsidR="00571393" w:rsidRPr="005531B6" w:rsidRDefault="00571393" w:rsidP="00571393">
      <w:pPr>
        <w:tabs>
          <w:tab w:val="left" w:pos="720"/>
        </w:tabs>
        <w:rPr>
          <w:rFonts w:ascii="Times New Roman" w:hAnsi="Times New Roman"/>
          <w:noProof/>
          <w:szCs w:val="24"/>
          <w:lang w:val="sr-Cyrl-RS"/>
        </w:rPr>
      </w:pPr>
      <w:r w:rsidRPr="005531B6">
        <w:rPr>
          <w:rFonts w:ascii="Times New Roman" w:hAnsi="Times New Roman"/>
          <w:noProof/>
          <w:szCs w:val="24"/>
          <w:lang w:val="sr-Cyrl-RS"/>
        </w:rPr>
        <w:tab/>
        <w:t>Плате запослених које се обезбеђују у буџету Републике Србије регулисане су Законом о платама у државним органима и јавним службама, Законом о платама државних службеника и намештеника, Законом о буџетском систему и другим посебним законима.</w:t>
      </w:r>
    </w:p>
    <w:p w14:paraId="13F49C1C" w14:textId="77777777" w:rsidR="00571393" w:rsidRPr="005531B6" w:rsidRDefault="00571393" w:rsidP="00571393">
      <w:pPr>
        <w:tabs>
          <w:tab w:val="left" w:pos="720"/>
        </w:tabs>
        <w:rPr>
          <w:rFonts w:ascii="Times New Roman" w:hAnsi="Times New Roman"/>
          <w:noProof/>
          <w:szCs w:val="24"/>
          <w:lang w:val="sr-Cyrl-RS"/>
        </w:rPr>
      </w:pPr>
      <w:r w:rsidRPr="005531B6">
        <w:rPr>
          <w:rFonts w:ascii="Times New Roman" w:hAnsi="Times New Roman"/>
          <w:noProof/>
          <w:szCs w:val="24"/>
          <w:lang w:val="sr-Cyrl-RS"/>
        </w:rPr>
        <w:tab/>
        <w:t xml:space="preserve">На плате изабраних лица у Народној скупштини (народни посланици) и Влади примењују се одредбе Закона о платама у државним органима и јавним службама. </w:t>
      </w:r>
    </w:p>
    <w:p w14:paraId="2A15A7C1" w14:textId="77777777" w:rsidR="00571393" w:rsidRPr="005531B6" w:rsidRDefault="00571393" w:rsidP="00571393">
      <w:pPr>
        <w:tabs>
          <w:tab w:val="left" w:pos="720"/>
        </w:tabs>
        <w:rPr>
          <w:rFonts w:ascii="Times New Roman" w:hAnsi="Times New Roman"/>
          <w:noProof/>
          <w:szCs w:val="24"/>
          <w:lang w:val="sr-Cyrl-RS"/>
        </w:rPr>
      </w:pPr>
      <w:r w:rsidRPr="005531B6">
        <w:rPr>
          <w:rFonts w:ascii="Times New Roman" w:hAnsi="Times New Roman"/>
          <w:noProof/>
          <w:szCs w:val="24"/>
          <w:lang w:val="sr-Cyrl-RS"/>
        </w:rPr>
        <w:tab/>
        <w:t xml:space="preserve">На плате запослених у Министарству унутрашњих послова, Безбедносно-информативној агенцији, Министарству одбране, као и за носиоце правосудних функција (судије и тужиоци) примењују се одредбе посебних закона. </w:t>
      </w:r>
    </w:p>
    <w:p w14:paraId="1BD158D4" w14:textId="77777777" w:rsidR="00571393" w:rsidRPr="005531B6" w:rsidRDefault="00571393" w:rsidP="00571393">
      <w:pPr>
        <w:tabs>
          <w:tab w:val="left" w:pos="720"/>
        </w:tabs>
        <w:rPr>
          <w:rFonts w:ascii="Times New Roman" w:hAnsi="Times New Roman"/>
          <w:noProof/>
          <w:szCs w:val="24"/>
          <w:lang w:val="sr-Cyrl-RS"/>
        </w:rPr>
      </w:pPr>
      <w:r w:rsidRPr="005531B6">
        <w:rPr>
          <w:rFonts w:ascii="Times New Roman" w:hAnsi="Times New Roman"/>
          <w:noProof/>
          <w:szCs w:val="24"/>
          <w:lang w:val="sr-Cyrl-RS"/>
        </w:rPr>
        <w:tab/>
        <w:t>На плате запослених који раде на спровођењу контроле у Управи царина, Пореској управи и Управи за спречавање прања новца, поред Закона о платама државних службеника и намештеника, примењују се и посебни прописи (уредбе, правилници, одлуке и др.) којима је регулисан њихов рад.</w:t>
      </w:r>
    </w:p>
    <w:p w14:paraId="49497BF5" w14:textId="77777777" w:rsidR="00571393" w:rsidRPr="005531B6" w:rsidRDefault="00571393" w:rsidP="00571393">
      <w:pPr>
        <w:ind w:firstLine="709"/>
        <w:rPr>
          <w:rFonts w:ascii="Times New Roman" w:hAnsi="Times New Roman"/>
          <w:noProof/>
          <w:lang w:val="sr-Cyrl-RS"/>
        </w:rPr>
      </w:pPr>
      <w:r w:rsidRPr="005531B6">
        <w:rPr>
          <w:rFonts w:ascii="Times New Roman" w:hAnsi="Times New Roman"/>
          <w:noProof/>
          <w:lang w:val="sr-Cyrl-RS"/>
        </w:rPr>
        <w:t>Изузетно, услед смањеног обима прихода остварених по основу наплате судских такси, плате судија исплаћиваће се до 30% из прихода остварених по основу наплате судских такси које припадају правосудним органима, а преостали део из извора 01 - Општи приходи и примања буџета уз претходно добијену писану сагласност министарства надлежног за послове финансија.</w:t>
      </w:r>
    </w:p>
    <w:p w14:paraId="23252FA9" w14:textId="77777777" w:rsidR="00571393" w:rsidRPr="005531B6" w:rsidRDefault="00571393" w:rsidP="00571393">
      <w:pPr>
        <w:tabs>
          <w:tab w:val="left" w:pos="720"/>
          <w:tab w:val="center" w:pos="1134"/>
        </w:tabs>
        <w:ind w:firstLine="720"/>
        <w:rPr>
          <w:rFonts w:ascii="Times New Roman" w:hAnsi="Times New Roman"/>
          <w:noProof/>
          <w:szCs w:val="24"/>
          <w:lang w:val="sr-Cyrl-RS"/>
        </w:rPr>
      </w:pPr>
      <w:r w:rsidRPr="005531B6">
        <w:rPr>
          <w:rFonts w:ascii="Times New Roman" w:hAnsi="Times New Roman"/>
          <w:noProof/>
          <w:szCs w:val="24"/>
          <w:lang w:val="sr-Cyrl-RS"/>
        </w:rPr>
        <w:t>Маса плата, односно зарада, планирана је у складу са Законом о буџетском систему.</w:t>
      </w:r>
    </w:p>
    <w:p w14:paraId="64A22F13" w14:textId="77777777" w:rsidR="00571393" w:rsidRPr="005531B6" w:rsidRDefault="00571393" w:rsidP="00571393">
      <w:pPr>
        <w:tabs>
          <w:tab w:val="left" w:pos="720"/>
          <w:tab w:val="center" w:pos="1134"/>
        </w:tabs>
        <w:rPr>
          <w:rFonts w:ascii="Times New Roman" w:hAnsi="Times New Roman"/>
          <w:noProof/>
          <w:szCs w:val="24"/>
          <w:lang w:val="sr-Cyrl-RS"/>
        </w:rPr>
      </w:pPr>
      <w:r w:rsidRPr="005531B6">
        <w:rPr>
          <w:rFonts w:ascii="Times New Roman" w:hAnsi="Times New Roman"/>
          <w:noProof/>
          <w:szCs w:val="24"/>
          <w:lang w:val="sr-Cyrl-RS"/>
        </w:rPr>
        <w:tab/>
        <w:t>Средства за плате су планирана између осталог на основу следећих параметара:</w:t>
      </w:r>
    </w:p>
    <w:p w14:paraId="3CF4CD16" w14:textId="77777777" w:rsidR="00571393" w:rsidRPr="005531B6" w:rsidRDefault="00571393" w:rsidP="00571393">
      <w:pPr>
        <w:numPr>
          <w:ilvl w:val="0"/>
          <w:numId w:val="9"/>
        </w:numPr>
        <w:tabs>
          <w:tab w:val="left" w:pos="720"/>
          <w:tab w:val="center" w:pos="1134"/>
        </w:tabs>
        <w:ind w:hanging="180"/>
        <w:rPr>
          <w:rFonts w:ascii="Times New Roman" w:hAnsi="Times New Roman"/>
          <w:noProof/>
          <w:szCs w:val="24"/>
          <w:lang w:val="sr-Cyrl-RS" w:eastAsia="x-none"/>
        </w:rPr>
      </w:pPr>
      <w:r w:rsidRPr="005531B6">
        <w:rPr>
          <w:rFonts w:ascii="Times New Roman" w:hAnsi="Times New Roman"/>
          <w:noProof/>
          <w:szCs w:val="24"/>
          <w:lang w:val="sr-Cyrl-RS" w:eastAsia="x-none"/>
        </w:rPr>
        <w:t>постојећег броја запослених;</w:t>
      </w:r>
    </w:p>
    <w:p w14:paraId="166C8F06" w14:textId="77777777" w:rsidR="00571393" w:rsidRPr="005531B6" w:rsidRDefault="00571393" w:rsidP="00571393">
      <w:pPr>
        <w:numPr>
          <w:ilvl w:val="0"/>
          <w:numId w:val="9"/>
        </w:numPr>
        <w:tabs>
          <w:tab w:val="left" w:pos="720"/>
          <w:tab w:val="center" w:pos="1134"/>
        </w:tabs>
        <w:ind w:hanging="180"/>
        <w:rPr>
          <w:rFonts w:ascii="Times New Roman" w:hAnsi="Times New Roman"/>
          <w:noProof/>
          <w:szCs w:val="24"/>
          <w:lang w:val="sr-Cyrl-RS" w:eastAsia="x-none"/>
        </w:rPr>
      </w:pPr>
      <w:r w:rsidRPr="005531B6">
        <w:rPr>
          <w:rFonts w:ascii="Times New Roman" w:hAnsi="Times New Roman"/>
          <w:noProof/>
          <w:szCs w:val="24"/>
          <w:lang w:val="sr-Cyrl-RS" w:eastAsia="x-none"/>
        </w:rPr>
        <w:t>увећања плата у одговарајућем проценту;</w:t>
      </w:r>
    </w:p>
    <w:p w14:paraId="5DB79E56" w14:textId="77777777" w:rsidR="00571393" w:rsidRPr="00571393" w:rsidRDefault="00571393" w:rsidP="00571393">
      <w:pPr>
        <w:numPr>
          <w:ilvl w:val="0"/>
          <w:numId w:val="9"/>
        </w:numPr>
        <w:tabs>
          <w:tab w:val="left" w:pos="720"/>
          <w:tab w:val="center" w:pos="1134"/>
        </w:tabs>
        <w:ind w:hanging="180"/>
        <w:rPr>
          <w:rFonts w:ascii="Times New Roman" w:hAnsi="Times New Roman"/>
          <w:noProof/>
          <w:szCs w:val="24"/>
          <w:lang w:val="sr-Cyrl-RS" w:eastAsia="x-none"/>
        </w:rPr>
      </w:pPr>
      <w:r w:rsidRPr="00571393">
        <w:rPr>
          <w:rFonts w:ascii="Times New Roman" w:hAnsi="Times New Roman"/>
          <w:noProof/>
          <w:szCs w:val="24"/>
          <w:lang w:val="sr-Cyrl-RS" w:eastAsia="x-none"/>
        </w:rPr>
        <w:t xml:space="preserve">повећања неопорезивог износа зараде на </w:t>
      </w:r>
      <w:r w:rsidRPr="00571393">
        <w:rPr>
          <w:rFonts w:ascii="Times New Roman" w:hAnsi="Times New Roman"/>
          <w:noProof/>
          <w:szCs w:val="24"/>
          <w:lang w:val="en-GB" w:eastAsia="x-none"/>
        </w:rPr>
        <w:t xml:space="preserve">28.423 </w:t>
      </w:r>
      <w:r w:rsidRPr="00571393">
        <w:rPr>
          <w:rFonts w:ascii="Times New Roman" w:hAnsi="Times New Roman"/>
          <w:noProof/>
          <w:szCs w:val="24"/>
          <w:lang w:val="sr-Cyrl-RS" w:eastAsia="x-none"/>
        </w:rPr>
        <w:t>динара.</w:t>
      </w:r>
    </w:p>
    <w:p w14:paraId="68423C2E" w14:textId="77777777" w:rsidR="00571393" w:rsidRPr="00571393" w:rsidRDefault="00571393" w:rsidP="00571393">
      <w:pPr>
        <w:tabs>
          <w:tab w:val="left" w:pos="720"/>
          <w:tab w:val="center" w:pos="1134"/>
        </w:tabs>
        <w:rPr>
          <w:rFonts w:ascii="Times New Roman" w:hAnsi="Times New Roman"/>
          <w:noProof/>
          <w:szCs w:val="24"/>
          <w:lang w:val="sr-Cyrl-RS"/>
        </w:rPr>
      </w:pPr>
      <w:r w:rsidRPr="00571393">
        <w:rPr>
          <w:rFonts w:ascii="Times New Roman" w:hAnsi="Times New Roman"/>
          <w:noProof/>
          <w:szCs w:val="24"/>
          <w:lang w:val="sr-Cyrl-RS"/>
        </w:rPr>
        <w:tab/>
        <w:t>У 2025. години плате запослених код корисника буџетских средстава планирају се у складу са основицама за обрачун и исплату плата, као и увећањима дефинисаним чланом 9. овог закона, која се примењују почев од плате за јануар 2025. године.</w:t>
      </w:r>
    </w:p>
    <w:p w14:paraId="46EBA9C2" w14:textId="1C7D3CEA" w:rsidR="002E5886" w:rsidRPr="00E00086" w:rsidRDefault="002E5886" w:rsidP="002E5886">
      <w:pPr>
        <w:ind w:firstLine="709"/>
        <w:rPr>
          <w:rFonts w:ascii="Times New Roman" w:hAnsi="Times New Roman"/>
          <w:szCs w:val="24"/>
          <w:lang w:val="sr-Cyrl-RS"/>
        </w:rPr>
      </w:pPr>
      <w:r>
        <w:rPr>
          <w:rFonts w:ascii="Times New Roman" w:hAnsi="Times New Roman"/>
          <w:szCs w:val="24"/>
          <w:lang w:val="sr-Cyrl-RS"/>
        </w:rPr>
        <w:t>Запосленима</w:t>
      </w:r>
      <w:r w:rsidRPr="00E00086">
        <w:rPr>
          <w:rFonts w:ascii="Times New Roman" w:hAnsi="Times New Roman"/>
          <w:szCs w:val="24"/>
          <w:lang w:val="sr-Cyrl-RS"/>
        </w:rPr>
        <w:t xml:space="preserve"> у установама предшколског, основног и средњег образовања и васпитања, високог образовања и ученичког и студентског стандарда плате ће се повећати за </w:t>
      </w:r>
      <w:r>
        <w:rPr>
          <w:rFonts w:ascii="Times New Roman" w:hAnsi="Times New Roman"/>
          <w:szCs w:val="24"/>
          <w:lang w:val="sr-Latn-RS"/>
        </w:rPr>
        <w:t>11</w:t>
      </w:r>
      <w:r w:rsidRPr="00E00086">
        <w:rPr>
          <w:rFonts w:ascii="Times New Roman" w:hAnsi="Times New Roman"/>
          <w:szCs w:val="24"/>
          <w:lang w:val="sr-Cyrl-RS"/>
        </w:rPr>
        <w:t>% почев од плате за јануар 2025. године.</w:t>
      </w:r>
    </w:p>
    <w:p w14:paraId="69782ABB" w14:textId="77777777" w:rsidR="00571393" w:rsidRPr="00571393" w:rsidRDefault="00571393" w:rsidP="00571393">
      <w:pPr>
        <w:tabs>
          <w:tab w:val="left" w:pos="720"/>
          <w:tab w:val="center" w:pos="1134"/>
        </w:tabs>
        <w:rPr>
          <w:rFonts w:ascii="Times New Roman" w:hAnsi="Times New Roman"/>
          <w:noProof/>
          <w:szCs w:val="24"/>
          <w:lang w:val="sr-Cyrl-RS"/>
        </w:rPr>
      </w:pPr>
      <w:r w:rsidRPr="00571393">
        <w:rPr>
          <w:rFonts w:ascii="Times New Roman" w:hAnsi="Times New Roman"/>
          <w:noProof/>
          <w:szCs w:val="24"/>
          <w:lang w:val="sr-Cyrl-RS"/>
        </w:rPr>
        <w:tab/>
        <w:t xml:space="preserve">У буџетској 2025. години </w:t>
      </w:r>
      <w:r w:rsidRPr="00571393">
        <w:rPr>
          <w:noProof/>
          <w:lang w:val="sr-Cyrl-RS"/>
        </w:rPr>
        <w:t>не може</w:t>
      </w:r>
      <w:r w:rsidRPr="00571393">
        <w:rPr>
          <w:rFonts w:ascii="Times New Roman" w:hAnsi="Times New Roman"/>
          <w:noProof/>
          <w:szCs w:val="24"/>
          <w:lang w:val="sr-Cyrl-RS"/>
        </w:rPr>
        <w:t xml:space="preserve"> се вршити обрачун и исплата поклона у новцу, божићних, годишњих и других врста награда и бонуса и примања запослених ради побољшања материјалног положаја и побољшања услова рада, као и других примања из члана 120. став 1. тачка 4. Закона о раду („Службени гласник РС”, бр. 24/05, 61/05, 54/09, 32/13, 75/14, 13/17-УС, 113/17 и 95/18-аутентично тумачење), предвиђених посебним и појединачним колективним уговорима и другим актима, за директне и индиректне кориснике буџетских средстава буџета Републике Србије, локалне власти и кориснике средстава организација за обавезно социјално осигурање, осим јубиларних награда за запослене и новчаних честитки за децу запослених.</w:t>
      </w:r>
    </w:p>
    <w:p w14:paraId="420C46F0" w14:textId="77777777" w:rsidR="00571393" w:rsidRPr="00571393" w:rsidRDefault="00571393" w:rsidP="00571393">
      <w:pPr>
        <w:tabs>
          <w:tab w:val="left" w:pos="720"/>
          <w:tab w:val="center" w:pos="1134"/>
        </w:tabs>
        <w:rPr>
          <w:rFonts w:ascii="Times New Roman" w:hAnsi="Times New Roman"/>
          <w:noProof/>
          <w:szCs w:val="24"/>
          <w:lang w:val="sr-Cyrl-RS"/>
        </w:rPr>
      </w:pPr>
      <w:r w:rsidRPr="00571393">
        <w:rPr>
          <w:rFonts w:ascii="Times New Roman" w:hAnsi="Times New Roman"/>
          <w:noProof/>
          <w:szCs w:val="24"/>
          <w:lang w:val="sr-Cyrl-RS"/>
        </w:rPr>
        <w:tab/>
        <w:t>У 2025. години не могу се исплаћивати запосленима код корисника буџетских средстава награде и бонуси који према међународним критеријумима представљају нестандардне, односно нетранспарентне облике награда и бонуса.</w:t>
      </w:r>
    </w:p>
    <w:p w14:paraId="5F71691A" w14:textId="5767929B" w:rsidR="00571393" w:rsidRPr="00571393" w:rsidRDefault="00571393" w:rsidP="00571393">
      <w:pPr>
        <w:tabs>
          <w:tab w:val="left" w:pos="720"/>
          <w:tab w:val="center" w:pos="1134"/>
        </w:tabs>
        <w:ind w:firstLine="720"/>
        <w:rPr>
          <w:rFonts w:ascii="Times New Roman" w:hAnsi="Times New Roman"/>
          <w:noProof/>
          <w:szCs w:val="24"/>
          <w:lang w:val="sr-Latn-RS"/>
        </w:rPr>
      </w:pPr>
      <w:r w:rsidRPr="00571393">
        <w:rPr>
          <w:rFonts w:ascii="Times New Roman" w:hAnsi="Times New Roman"/>
          <w:noProof/>
          <w:szCs w:val="24"/>
          <w:lang w:val="sr-Cyrl-RS"/>
        </w:rPr>
        <w:t>Изузетно, исплата награда и бонуса запосленима код корисника средстава буџета Републике Србије и корисника средстава организација за обавезно социјално осигурање у 2025. години може се вршити на основу одлуке Владе.</w:t>
      </w:r>
    </w:p>
    <w:p w14:paraId="626650A2" w14:textId="31F5E3A3" w:rsidR="000E57BF" w:rsidRPr="00D56DA4" w:rsidRDefault="00AE51F8" w:rsidP="00D56DA4">
      <w:pPr>
        <w:tabs>
          <w:tab w:val="left" w:pos="720"/>
          <w:tab w:val="center" w:pos="1134"/>
        </w:tabs>
        <w:ind w:firstLine="720"/>
        <w:rPr>
          <w:rFonts w:ascii="Times New Roman" w:hAnsi="Times New Roman"/>
          <w:color w:val="000000"/>
          <w:szCs w:val="24"/>
          <w:lang w:val="sr-Latn-RS"/>
        </w:rPr>
      </w:pPr>
      <w:r w:rsidRPr="00571393">
        <w:rPr>
          <w:rFonts w:ascii="Times New Roman" w:hAnsi="Times New Roman"/>
          <w:b/>
          <w:bCs/>
          <w:color w:val="000000"/>
          <w:szCs w:val="24"/>
          <w:lang w:val="sr-Cyrl-RS"/>
        </w:rPr>
        <w:t xml:space="preserve">Расходи за коришћење услуга и роба </w:t>
      </w:r>
      <w:r w:rsidRPr="00571393">
        <w:rPr>
          <w:rFonts w:ascii="Times New Roman" w:hAnsi="Times New Roman"/>
          <w:color w:val="000000"/>
          <w:szCs w:val="24"/>
          <w:lang w:val="sr-Cyrl-RS"/>
        </w:rPr>
        <w:t xml:space="preserve">износе </w:t>
      </w:r>
      <w:r w:rsidR="00411E29" w:rsidRPr="00571393">
        <w:rPr>
          <w:rFonts w:ascii="Times New Roman" w:hAnsi="Times New Roman"/>
          <w:color w:val="000000"/>
          <w:szCs w:val="24"/>
          <w:lang w:val="sr-Latn-RS"/>
        </w:rPr>
        <w:t>268,</w:t>
      </w:r>
      <w:r w:rsidR="00E82502" w:rsidRPr="00571393">
        <w:rPr>
          <w:rFonts w:ascii="Times New Roman" w:hAnsi="Times New Roman"/>
          <w:color w:val="000000"/>
          <w:szCs w:val="24"/>
          <w:lang w:val="sr-Latn-RS"/>
        </w:rPr>
        <w:t>03</w:t>
      </w:r>
      <w:r w:rsidRPr="00571393">
        <w:rPr>
          <w:rFonts w:ascii="Times New Roman" w:hAnsi="Times New Roman"/>
          <w:color w:val="000000"/>
          <w:szCs w:val="24"/>
          <w:lang w:val="sr-Cyrl-RS"/>
        </w:rPr>
        <w:t xml:space="preserve"> млрд динара</w:t>
      </w:r>
      <w:r w:rsidRPr="00E00086">
        <w:rPr>
          <w:rFonts w:ascii="Times New Roman" w:hAnsi="Times New Roman"/>
          <w:color w:val="000000"/>
          <w:szCs w:val="24"/>
          <w:lang w:val="sr-Cyrl-RS"/>
        </w:rPr>
        <w:t xml:space="preserve">. Учешће ових расхода у укупним расходима и издацима је </w:t>
      </w:r>
      <w:r w:rsidR="00A06107" w:rsidRPr="00E00086">
        <w:rPr>
          <w:rFonts w:ascii="Times New Roman" w:hAnsi="Times New Roman"/>
          <w:color w:val="000000"/>
          <w:szCs w:val="24"/>
          <w:lang w:val="sr-Cyrl-RS"/>
        </w:rPr>
        <w:t>10,0</w:t>
      </w:r>
      <w:r w:rsidR="00411E29">
        <w:rPr>
          <w:rFonts w:ascii="Times New Roman" w:hAnsi="Times New Roman"/>
          <w:color w:val="000000"/>
          <w:szCs w:val="24"/>
          <w:lang w:val="sr-Latn-RS"/>
        </w:rPr>
        <w:t>8</w:t>
      </w:r>
      <w:r w:rsidRPr="00E00086">
        <w:rPr>
          <w:rFonts w:ascii="Times New Roman" w:hAnsi="Times New Roman"/>
          <w:color w:val="000000"/>
          <w:szCs w:val="24"/>
          <w:lang w:val="sr-Cyrl-RS"/>
        </w:rPr>
        <w:t>%</w:t>
      </w:r>
      <w:r w:rsidR="00DF267C" w:rsidRPr="00E00086">
        <w:rPr>
          <w:rFonts w:ascii="Times New Roman" w:hAnsi="Times New Roman"/>
          <w:color w:val="000000"/>
          <w:szCs w:val="24"/>
          <w:lang w:val="sr-Cyrl-RS"/>
        </w:rPr>
        <w:t>. Средства су планиран</w:t>
      </w:r>
      <w:r w:rsidR="0064364F" w:rsidRPr="00E00086">
        <w:rPr>
          <w:rFonts w:ascii="Times New Roman" w:hAnsi="Times New Roman"/>
          <w:color w:val="000000"/>
          <w:szCs w:val="24"/>
          <w:lang w:val="sr-Cyrl-RS"/>
        </w:rPr>
        <w:t>a</w:t>
      </w:r>
      <w:r w:rsidR="00DF267C" w:rsidRPr="00E00086">
        <w:rPr>
          <w:rFonts w:ascii="Times New Roman" w:hAnsi="Times New Roman"/>
          <w:color w:val="000000"/>
          <w:szCs w:val="24"/>
          <w:lang w:val="sr-Cyrl-RS"/>
        </w:rPr>
        <w:t xml:space="preserve"> за</w:t>
      </w:r>
      <w:r w:rsidR="00151DEC" w:rsidRPr="00E00086">
        <w:rPr>
          <w:rFonts w:ascii="Times New Roman" w:hAnsi="Times New Roman"/>
          <w:color w:val="000000"/>
          <w:szCs w:val="24"/>
          <w:lang w:val="sr-Cyrl-RS"/>
        </w:rPr>
        <w:t>:</w:t>
      </w:r>
      <w:r w:rsidR="00DF267C" w:rsidRPr="00E00086">
        <w:rPr>
          <w:rFonts w:ascii="Times New Roman" w:hAnsi="Times New Roman"/>
          <w:color w:val="000000"/>
          <w:szCs w:val="24"/>
          <w:lang w:val="sr-Cyrl-RS"/>
        </w:rPr>
        <w:t xml:space="preserve"> </w:t>
      </w:r>
      <w:r w:rsidRPr="00E00086">
        <w:rPr>
          <w:rFonts w:ascii="Times New Roman" w:hAnsi="Times New Roman"/>
          <w:b/>
          <w:bCs/>
          <w:color w:val="000000"/>
          <w:szCs w:val="24"/>
          <w:lang w:val="sr-Cyrl-RS"/>
        </w:rPr>
        <w:t xml:space="preserve">сталне трошкове </w:t>
      </w:r>
      <w:r w:rsidR="00206479" w:rsidRPr="00E00086">
        <w:rPr>
          <w:rFonts w:ascii="Times New Roman" w:hAnsi="Times New Roman"/>
          <w:color w:val="000000"/>
          <w:szCs w:val="24"/>
          <w:lang w:val="sr-Cyrl-RS"/>
        </w:rPr>
        <w:t>буџетских корисника</w:t>
      </w:r>
      <w:r w:rsidR="00151DEC" w:rsidRPr="00E00086">
        <w:rPr>
          <w:rFonts w:ascii="Times New Roman" w:hAnsi="Times New Roman"/>
          <w:color w:val="000000"/>
          <w:szCs w:val="24"/>
          <w:lang w:val="sr-Cyrl-RS"/>
        </w:rPr>
        <w:t xml:space="preserve"> </w:t>
      </w:r>
      <w:r w:rsidR="00206479" w:rsidRPr="00E00086">
        <w:rPr>
          <w:rFonts w:ascii="Times New Roman" w:hAnsi="Times New Roman"/>
          <w:color w:val="000000"/>
          <w:szCs w:val="24"/>
          <w:lang w:val="sr-Cyrl-RS"/>
        </w:rPr>
        <w:t>(енергетске и комуналне услуге, услуге комуникација, трошков</w:t>
      </w:r>
      <w:r w:rsidR="00151DEC" w:rsidRPr="00E00086">
        <w:rPr>
          <w:rFonts w:ascii="Times New Roman" w:hAnsi="Times New Roman"/>
          <w:color w:val="000000"/>
          <w:szCs w:val="24"/>
          <w:lang w:val="sr-Cyrl-RS"/>
        </w:rPr>
        <w:t>и</w:t>
      </w:r>
      <w:r w:rsidR="00206479" w:rsidRPr="00E00086">
        <w:rPr>
          <w:rFonts w:ascii="Times New Roman" w:hAnsi="Times New Roman"/>
          <w:color w:val="000000"/>
          <w:szCs w:val="24"/>
          <w:lang w:val="sr-Cyrl-RS"/>
        </w:rPr>
        <w:t xml:space="preserve"> осигурања</w:t>
      </w:r>
      <w:r w:rsidR="00C71C79">
        <w:rPr>
          <w:rFonts w:ascii="Times New Roman" w:hAnsi="Times New Roman"/>
          <w:color w:val="000000"/>
          <w:szCs w:val="24"/>
          <w:lang w:val="sr-Cyrl-RS"/>
        </w:rPr>
        <w:t>, трошкове закупа</w:t>
      </w:r>
      <w:r w:rsidR="00206479" w:rsidRPr="00E00086">
        <w:rPr>
          <w:rFonts w:ascii="Times New Roman" w:hAnsi="Times New Roman"/>
          <w:color w:val="000000"/>
          <w:szCs w:val="24"/>
          <w:lang w:val="sr-Cyrl-RS"/>
        </w:rPr>
        <w:t xml:space="preserve"> и др.)</w:t>
      </w:r>
      <w:r w:rsidR="00151DEC" w:rsidRPr="00E00086">
        <w:rPr>
          <w:rFonts w:ascii="Times New Roman" w:hAnsi="Times New Roman"/>
          <w:color w:val="000000"/>
          <w:szCs w:val="24"/>
          <w:lang w:val="sr-Cyrl-RS"/>
        </w:rPr>
        <w:t>;</w:t>
      </w:r>
      <w:r w:rsidR="00206479" w:rsidRPr="00E00086">
        <w:rPr>
          <w:rFonts w:ascii="Times New Roman" w:hAnsi="Times New Roman"/>
          <w:color w:val="000000"/>
          <w:szCs w:val="24"/>
          <w:lang w:val="sr-Cyrl-RS"/>
        </w:rPr>
        <w:t xml:space="preserve"> </w:t>
      </w:r>
      <w:r w:rsidR="00206479" w:rsidRPr="00E00086">
        <w:rPr>
          <w:rFonts w:ascii="Times New Roman" w:hAnsi="Times New Roman"/>
          <w:b/>
          <w:bCs/>
          <w:color w:val="000000"/>
          <w:szCs w:val="24"/>
          <w:lang w:val="sr-Cyrl-RS"/>
        </w:rPr>
        <w:t>услуге по уговору</w:t>
      </w:r>
      <w:r w:rsidR="00206479" w:rsidRPr="00E00086">
        <w:rPr>
          <w:rFonts w:ascii="Times New Roman" w:hAnsi="Times New Roman"/>
          <w:color w:val="000000"/>
          <w:szCs w:val="24"/>
          <w:lang w:val="sr-Cyrl-RS"/>
        </w:rPr>
        <w:t xml:space="preserve"> (с</w:t>
      </w:r>
      <w:r w:rsidR="004E7950" w:rsidRPr="00E00086">
        <w:rPr>
          <w:rFonts w:ascii="Times New Roman" w:hAnsi="Times New Roman"/>
          <w:color w:val="000000"/>
          <w:szCs w:val="24"/>
          <w:lang w:val="sr-Cyrl-RS"/>
        </w:rPr>
        <w:t>провођење судских поступака судова</w:t>
      </w:r>
      <w:r w:rsidR="008F36F8" w:rsidRPr="00E00086">
        <w:rPr>
          <w:rFonts w:ascii="Times New Roman" w:hAnsi="Times New Roman"/>
          <w:color w:val="000000"/>
          <w:szCs w:val="24"/>
          <w:lang w:val="sr-Cyrl-RS"/>
        </w:rPr>
        <w:t>,</w:t>
      </w:r>
      <w:r w:rsidR="004E7950" w:rsidRPr="00E00086">
        <w:rPr>
          <w:rFonts w:ascii="Times New Roman" w:hAnsi="Times New Roman"/>
          <w:color w:val="000000"/>
          <w:szCs w:val="24"/>
          <w:lang w:val="sr-Cyrl-RS"/>
        </w:rPr>
        <w:t xml:space="preserve"> </w:t>
      </w:r>
      <w:r w:rsidR="00ED473C" w:rsidRPr="00E00086">
        <w:rPr>
          <w:rFonts w:ascii="Times New Roman" w:hAnsi="Times New Roman"/>
          <w:color w:val="000000"/>
          <w:szCs w:val="24"/>
          <w:lang w:val="sr-Cyrl-RS"/>
        </w:rPr>
        <w:t>спровођење тужилачких активности тужилаштава</w:t>
      </w:r>
      <w:r w:rsidR="008F36F8" w:rsidRPr="00E00086">
        <w:rPr>
          <w:rFonts w:ascii="Times New Roman" w:hAnsi="Times New Roman"/>
          <w:color w:val="000000"/>
          <w:szCs w:val="24"/>
          <w:lang w:val="sr-Cyrl-RS"/>
        </w:rPr>
        <w:t>,</w:t>
      </w:r>
      <w:r w:rsidR="00ED473C" w:rsidRPr="00E00086">
        <w:rPr>
          <w:rFonts w:ascii="Times New Roman" w:hAnsi="Times New Roman"/>
          <w:color w:val="000000"/>
          <w:szCs w:val="24"/>
          <w:lang w:val="sr-Cyrl-RS"/>
        </w:rPr>
        <w:t xml:space="preserve"> </w:t>
      </w:r>
      <w:r w:rsidR="00206479" w:rsidRPr="00E00086">
        <w:rPr>
          <w:rFonts w:ascii="Times New Roman" w:hAnsi="Times New Roman"/>
          <w:color w:val="000000"/>
          <w:szCs w:val="24"/>
          <w:lang w:val="sr-Cyrl-RS"/>
        </w:rPr>
        <w:t>п</w:t>
      </w:r>
      <w:r w:rsidR="004E7950" w:rsidRPr="00E00086">
        <w:rPr>
          <w:rFonts w:ascii="Times New Roman" w:hAnsi="Times New Roman"/>
          <w:color w:val="000000"/>
          <w:szCs w:val="24"/>
          <w:lang w:val="sr-Cyrl-RS"/>
        </w:rPr>
        <w:t>равн</w:t>
      </w:r>
      <w:r w:rsidR="00CF5AAB" w:rsidRPr="00E00086">
        <w:rPr>
          <w:rFonts w:ascii="Times New Roman" w:hAnsi="Times New Roman"/>
          <w:color w:val="000000"/>
          <w:szCs w:val="24"/>
          <w:lang w:val="sr-Cyrl-RS"/>
        </w:rPr>
        <w:t>а</w:t>
      </w:r>
      <w:r w:rsidR="004E7950" w:rsidRPr="00E00086">
        <w:rPr>
          <w:rFonts w:ascii="Times New Roman" w:hAnsi="Times New Roman"/>
          <w:color w:val="000000"/>
          <w:szCs w:val="24"/>
          <w:lang w:val="sr-Cyrl-RS"/>
        </w:rPr>
        <w:t xml:space="preserve"> заштит</w:t>
      </w:r>
      <w:r w:rsidR="00CF5AAB" w:rsidRPr="00E00086">
        <w:rPr>
          <w:rFonts w:ascii="Times New Roman" w:hAnsi="Times New Roman"/>
          <w:color w:val="000000"/>
          <w:szCs w:val="24"/>
          <w:lang w:val="sr-Cyrl-RS"/>
        </w:rPr>
        <w:t>а</w:t>
      </w:r>
      <w:r w:rsidR="004E7950" w:rsidRPr="00E00086">
        <w:rPr>
          <w:rFonts w:ascii="Times New Roman" w:hAnsi="Times New Roman"/>
          <w:color w:val="000000"/>
          <w:szCs w:val="24"/>
          <w:lang w:val="sr-Cyrl-RS"/>
        </w:rPr>
        <w:t xml:space="preserve"> имовине и заступање интереса Републике Србије пред међународним судовима</w:t>
      </w:r>
      <w:r w:rsidR="008F36F8" w:rsidRPr="00E00086">
        <w:rPr>
          <w:rFonts w:ascii="Times New Roman" w:hAnsi="Times New Roman"/>
          <w:color w:val="000000"/>
          <w:szCs w:val="24"/>
          <w:lang w:val="sr-Cyrl-RS"/>
        </w:rPr>
        <w:t>,</w:t>
      </w:r>
      <w:r w:rsidR="007E24BE">
        <w:rPr>
          <w:rFonts w:ascii="Times New Roman" w:hAnsi="Times New Roman"/>
          <w:color w:val="000000"/>
          <w:szCs w:val="24"/>
          <w:lang w:val="sr-Cyrl-RS"/>
        </w:rPr>
        <w:t xml:space="preserve"> </w:t>
      </w:r>
      <w:r w:rsidR="007E24BE">
        <w:rPr>
          <w:rFonts w:ascii="Times New Roman" w:hAnsi="Times New Roman" w:hint="eastAsia"/>
          <w:color w:val="000000"/>
          <w:szCs w:val="24"/>
          <w:lang w:val="en-US"/>
        </w:rPr>
        <w:t>м</w:t>
      </w:r>
      <w:r w:rsidR="007E24BE" w:rsidRPr="007E24BE">
        <w:rPr>
          <w:rFonts w:ascii="Times New Roman" w:hAnsi="Times New Roman" w:hint="eastAsia"/>
          <w:color w:val="000000"/>
          <w:szCs w:val="24"/>
          <w:lang w:val="sr-Cyrl-RS"/>
        </w:rPr>
        <w:t>одернизација</w:t>
      </w:r>
      <w:r w:rsidR="007E24BE" w:rsidRPr="007E24BE">
        <w:rPr>
          <w:rFonts w:ascii="Times New Roman" w:hAnsi="Times New Roman"/>
          <w:color w:val="000000"/>
          <w:szCs w:val="24"/>
          <w:lang w:val="sr-Cyrl-RS"/>
        </w:rPr>
        <w:t xml:space="preserve"> </w:t>
      </w:r>
      <w:r w:rsidR="007E24BE" w:rsidRPr="007E24BE">
        <w:rPr>
          <w:rFonts w:ascii="Times New Roman" w:hAnsi="Times New Roman" w:hint="eastAsia"/>
          <w:color w:val="000000"/>
          <w:szCs w:val="24"/>
          <w:lang w:val="sr-Cyrl-RS"/>
        </w:rPr>
        <w:t>пореске</w:t>
      </w:r>
      <w:r w:rsidR="007E24BE" w:rsidRPr="007E24BE">
        <w:rPr>
          <w:rFonts w:ascii="Times New Roman" w:hAnsi="Times New Roman"/>
          <w:color w:val="000000"/>
          <w:szCs w:val="24"/>
          <w:lang w:val="sr-Cyrl-RS"/>
        </w:rPr>
        <w:t xml:space="preserve"> </w:t>
      </w:r>
      <w:r w:rsidR="007E24BE" w:rsidRPr="007E24BE">
        <w:rPr>
          <w:rFonts w:ascii="Times New Roman" w:hAnsi="Times New Roman" w:hint="eastAsia"/>
          <w:color w:val="000000"/>
          <w:szCs w:val="24"/>
          <w:lang w:val="sr-Cyrl-RS"/>
        </w:rPr>
        <w:t>администрације</w:t>
      </w:r>
      <w:r w:rsidR="007E24BE">
        <w:rPr>
          <w:rFonts w:ascii="Times New Roman" w:hAnsi="Times New Roman"/>
          <w:color w:val="000000"/>
          <w:szCs w:val="24"/>
          <w:lang w:val="sr-Cyrl-RS"/>
        </w:rPr>
        <w:t>, реализација делатности образовања,</w:t>
      </w:r>
      <w:r w:rsidR="004E7950" w:rsidRPr="00E00086">
        <w:rPr>
          <w:rFonts w:ascii="Times New Roman" w:hAnsi="Times New Roman"/>
          <w:color w:val="000000"/>
          <w:szCs w:val="24"/>
          <w:lang w:val="sr-Cyrl-RS"/>
        </w:rPr>
        <w:t xml:space="preserve"> </w:t>
      </w:r>
      <w:r w:rsidR="00D93E86" w:rsidRPr="00E00086">
        <w:rPr>
          <w:rFonts w:ascii="Times New Roman" w:hAnsi="Times New Roman"/>
          <w:color w:val="000000"/>
          <w:szCs w:val="24"/>
          <w:lang w:val="sr-Cyrl-RS"/>
        </w:rPr>
        <w:t xml:space="preserve">операције и </w:t>
      </w:r>
      <w:r w:rsidR="00D5061E" w:rsidRPr="00E00086">
        <w:rPr>
          <w:rFonts w:ascii="Times New Roman" w:hAnsi="Times New Roman"/>
          <w:color w:val="000000"/>
          <w:szCs w:val="24"/>
          <w:lang w:val="sr-Cyrl-RS"/>
        </w:rPr>
        <w:t>функционисање Министарства одбране и Војске Србије</w:t>
      </w:r>
      <w:r w:rsidR="008F36F8" w:rsidRPr="00E00086">
        <w:rPr>
          <w:rFonts w:ascii="Times New Roman" w:hAnsi="Times New Roman"/>
          <w:color w:val="000000"/>
          <w:szCs w:val="24"/>
          <w:lang w:val="sr-Cyrl-RS"/>
        </w:rPr>
        <w:t>,</w:t>
      </w:r>
      <w:r w:rsidR="00D5061E" w:rsidRPr="00E00086">
        <w:rPr>
          <w:rFonts w:ascii="Times New Roman" w:hAnsi="Times New Roman"/>
          <w:color w:val="000000"/>
          <w:szCs w:val="24"/>
          <w:lang w:val="sr-Cyrl-RS"/>
        </w:rPr>
        <w:t xml:space="preserve"> </w:t>
      </w:r>
      <w:r w:rsidR="007E24BE">
        <w:rPr>
          <w:rFonts w:ascii="Times New Roman" w:hAnsi="Times New Roman" w:hint="eastAsia"/>
          <w:color w:val="000000"/>
          <w:szCs w:val="24"/>
          <w:lang w:val="en-US"/>
        </w:rPr>
        <w:t>о</w:t>
      </w:r>
      <w:r w:rsidR="007E24BE" w:rsidRPr="007E24BE">
        <w:rPr>
          <w:rFonts w:ascii="Times New Roman" w:hAnsi="Times New Roman" w:hint="eastAsia"/>
          <w:color w:val="000000"/>
          <w:szCs w:val="24"/>
          <w:lang w:val="sr-Cyrl-RS"/>
        </w:rPr>
        <w:t>бављање</w:t>
      </w:r>
      <w:r w:rsidR="007E24BE" w:rsidRPr="007E24BE">
        <w:rPr>
          <w:rFonts w:ascii="Times New Roman" w:hAnsi="Times New Roman"/>
          <w:color w:val="000000"/>
          <w:szCs w:val="24"/>
          <w:lang w:val="sr-Cyrl-RS"/>
        </w:rPr>
        <w:t xml:space="preserve"> </w:t>
      </w:r>
      <w:r w:rsidR="007E24BE" w:rsidRPr="007E24BE">
        <w:rPr>
          <w:rFonts w:ascii="Times New Roman" w:hAnsi="Times New Roman" w:hint="eastAsia"/>
          <w:color w:val="000000"/>
          <w:szCs w:val="24"/>
          <w:lang w:val="sr-Cyrl-RS"/>
        </w:rPr>
        <w:t>делатности</w:t>
      </w:r>
      <w:r w:rsidR="007E24BE" w:rsidRPr="007E24BE">
        <w:rPr>
          <w:rFonts w:ascii="Times New Roman" w:hAnsi="Times New Roman"/>
          <w:color w:val="000000"/>
          <w:szCs w:val="24"/>
          <w:lang w:val="sr-Cyrl-RS"/>
        </w:rPr>
        <w:t xml:space="preserve"> </w:t>
      </w:r>
      <w:r w:rsidR="007E24BE" w:rsidRPr="007E24BE">
        <w:rPr>
          <w:rFonts w:ascii="Times New Roman" w:hAnsi="Times New Roman" w:hint="eastAsia"/>
          <w:color w:val="000000"/>
          <w:szCs w:val="24"/>
          <w:lang w:val="sr-Cyrl-RS"/>
        </w:rPr>
        <w:t>установа</w:t>
      </w:r>
      <w:r w:rsidR="007E24BE" w:rsidRPr="007E24BE">
        <w:rPr>
          <w:rFonts w:ascii="Times New Roman" w:hAnsi="Times New Roman"/>
          <w:color w:val="000000"/>
          <w:szCs w:val="24"/>
          <w:lang w:val="sr-Cyrl-RS"/>
        </w:rPr>
        <w:t xml:space="preserve"> </w:t>
      </w:r>
      <w:r w:rsidR="007E24BE" w:rsidRPr="007E24BE">
        <w:rPr>
          <w:rFonts w:ascii="Times New Roman" w:hAnsi="Times New Roman" w:hint="eastAsia"/>
          <w:color w:val="000000"/>
          <w:szCs w:val="24"/>
          <w:lang w:val="sr-Cyrl-RS"/>
        </w:rPr>
        <w:lastRenderedPageBreak/>
        <w:t>социјалне</w:t>
      </w:r>
      <w:r w:rsidR="007E24BE" w:rsidRPr="007E24BE">
        <w:rPr>
          <w:rFonts w:ascii="Times New Roman" w:hAnsi="Times New Roman"/>
          <w:color w:val="000000"/>
          <w:szCs w:val="24"/>
          <w:lang w:val="sr-Cyrl-RS"/>
        </w:rPr>
        <w:t xml:space="preserve"> </w:t>
      </w:r>
      <w:r w:rsidR="007E24BE" w:rsidRPr="007E24BE">
        <w:rPr>
          <w:rFonts w:ascii="Times New Roman" w:hAnsi="Times New Roman" w:hint="eastAsia"/>
          <w:color w:val="000000"/>
          <w:szCs w:val="24"/>
          <w:lang w:val="sr-Cyrl-RS"/>
        </w:rPr>
        <w:t>заштите</w:t>
      </w:r>
      <w:r w:rsidR="007E24BE">
        <w:rPr>
          <w:rFonts w:ascii="Times New Roman" w:hAnsi="Times New Roman"/>
          <w:color w:val="000000"/>
          <w:szCs w:val="24"/>
          <w:lang w:val="sr-Cyrl-RS"/>
        </w:rPr>
        <w:t xml:space="preserve"> и</w:t>
      </w:r>
      <w:r w:rsidR="007E24BE" w:rsidRPr="007E24BE">
        <w:rPr>
          <w:rFonts w:ascii="Times New Roman" w:hAnsi="Times New Roman" w:hint="eastAsia"/>
          <w:color w:val="000000"/>
          <w:szCs w:val="24"/>
          <w:lang w:val="sr-Cyrl-RS"/>
        </w:rPr>
        <w:t> </w:t>
      </w:r>
      <w:r w:rsidR="00C61EEC" w:rsidRPr="00E00086">
        <w:rPr>
          <w:rFonts w:ascii="Times New Roman" w:hAnsi="Times New Roman"/>
          <w:color w:val="000000"/>
          <w:szCs w:val="24"/>
          <w:lang w:val="sr-Cyrl-RS"/>
        </w:rPr>
        <w:t>подршк</w:t>
      </w:r>
      <w:r w:rsidR="00CF5AAB" w:rsidRPr="00E00086">
        <w:rPr>
          <w:rFonts w:ascii="Times New Roman" w:hAnsi="Times New Roman"/>
          <w:color w:val="000000"/>
          <w:szCs w:val="24"/>
          <w:lang w:val="sr-Cyrl-RS"/>
        </w:rPr>
        <w:t>а</w:t>
      </w:r>
      <w:r w:rsidR="00C61EEC" w:rsidRPr="00E00086">
        <w:rPr>
          <w:rFonts w:ascii="Times New Roman" w:hAnsi="Times New Roman"/>
          <w:color w:val="000000"/>
          <w:szCs w:val="24"/>
          <w:lang w:val="sr-Cyrl-RS"/>
        </w:rPr>
        <w:t xml:space="preserve"> рада хранитеља</w:t>
      </w:r>
      <w:r w:rsidR="008548CB" w:rsidRPr="00E00086">
        <w:rPr>
          <w:rFonts w:ascii="Times New Roman" w:hAnsi="Times New Roman"/>
          <w:color w:val="000000"/>
          <w:szCs w:val="24"/>
          <w:lang w:val="sr-Cyrl-RS"/>
        </w:rPr>
        <w:t xml:space="preserve">, </w:t>
      </w:r>
      <w:r w:rsidR="00D17C99" w:rsidRPr="00E00086">
        <w:rPr>
          <w:rFonts w:ascii="Times New Roman" w:hAnsi="Times New Roman"/>
          <w:color w:val="000000"/>
          <w:szCs w:val="24"/>
          <w:lang w:val="sr-Cyrl-RS"/>
        </w:rPr>
        <w:t xml:space="preserve">уређење, </w:t>
      </w:r>
      <w:r w:rsidR="00040DCF" w:rsidRPr="00E00086">
        <w:rPr>
          <w:rFonts w:ascii="Times New Roman" w:hAnsi="Times New Roman"/>
          <w:lang w:val="sr-Cyrl-RS"/>
        </w:rPr>
        <w:t>и</w:t>
      </w:r>
      <w:r w:rsidR="00040DCF" w:rsidRPr="00E00086">
        <w:rPr>
          <w:rFonts w:ascii="Times New Roman" w:hAnsi="Times New Roman"/>
          <w:color w:val="000000"/>
          <w:szCs w:val="24"/>
          <w:lang w:val="sr-Cyrl-RS"/>
        </w:rPr>
        <w:t>нформатизација здравственог система у јединствени информациони систем</w:t>
      </w:r>
      <w:r w:rsidR="00B6071F" w:rsidRPr="00E00086">
        <w:rPr>
          <w:rFonts w:ascii="Times New Roman" w:hAnsi="Times New Roman"/>
          <w:color w:val="000000"/>
          <w:szCs w:val="24"/>
          <w:lang w:val="sr-Cyrl-RS"/>
        </w:rPr>
        <w:t>;</w:t>
      </w:r>
      <w:r w:rsidR="00BF2BA1" w:rsidRPr="00E00086">
        <w:rPr>
          <w:lang w:val="sr-Cyrl-RS"/>
        </w:rPr>
        <w:t xml:space="preserve"> </w:t>
      </w:r>
      <w:r w:rsidR="00B6071F" w:rsidRPr="00E00086">
        <w:rPr>
          <w:rFonts w:ascii="Times New Roman" w:hAnsi="Times New Roman"/>
          <w:color w:val="000000"/>
          <w:szCs w:val="24"/>
          <w:lang w:val="sr-Cyrl-RS"/>
        </w:rPr>
        <w:t>материјална подршка раду правосудних органа;</w:t>
      </w:r>
      <w:r w:rsidR="00B6071F" w:rsidRPr="00E00086">
        <w:rPr>
          <w:lang w:val="sr-Cyrl-RS"/>
        </w:rPr>
        <w:t xml:space="preserve"> </w:t>
      </w:r>
      <w:r w:rsidR="00BF2BA1" w:rsidRPr="00E00086">
        <w:rPr>
          <w:rFonts w:ascii="Times New Roman" w:hAnsi="Times New Roman"/>
          <w:color w:val="000000"/>
          <w:szCs w:val="24"/>
          <w:lang w:val="sr-Cyrl-RS"/>
        </w:rPr>
        <w:t>учешће Републике Србије на светској изложби „EXPO 2025 - Осакаˮ,</w:t>
      </w:r>
      <w:r w:rsidR="00CB70ED" w:rsidRPr="00E00086">
        <w:rPr>
          <w:rFonts w:ascii="Times New Roman" w:hAnsi="Times New Roman"/>
          <w:color w:val="000000"/>
          <w:szCs w:val="24"/>
          <w:lang w:val="sr-Cyrl-RS"/>
        </w:rPr>
        <w:t xml:space="preserve"> развој система ИТ и електронске управе</w:t>
      </w:r>
      <w:r w:rsidR="008548CB" w:rsidRPr="00E00086">
        <w:rPr>
          <w:rFonts w:ascii="Times New Roman" w:hAnsi="Times New Roman"/>
          <w:color w:val="000000"/>
          <w:szCs w:val="24"/>
          <w:lang w:val="sr-Cyrl-RS"/>
        </w:rPr>
        <w:t xml:space="preserve"> </w:t>
      </w:r>
      <w:r w:rsidR="009D260F" w:rsidRPr="00E00086">
        <w:rPr>
          <w:rFonts w:ascii="Times New Roman" w:hAnsi="Times New Roman"/>
          <w:color w:val="000000"/>
          <w:szCs w:val="24"/>
          <w:lang w:val="sr-Cyrl-RS"/>
        </w:rPr>
        <w:t>и др</w:t>
      </w:r>
      <w:r w:rsidR="00DA55F0" w:rsidRPr="00E00086">
        <w:rPr>
          <w:rFonts w:ascii="Times New Roman" w:hAnsi="Times New Roman"/>
          <w:color w:val="000000"/>
          <w:szCs w:val="24"/>
          <w:lang w:val="sr-Cyrl-RS"/>
        </w:rPr>
        <w:t>.</w:t>
      </w:r>
      <w:r w:rsidR="004E7950" w:rsidRPr="00E00086">
        <w:rPr>
          <w:rFonts w:ascii="Times New Roman" w:hAnsi="Times New Roman"/>
          <w:color w:val="000000"/>
          <w:szCs w:val="24"/>
          <w:lang w:val="sr-Cyrl-RS"/>
        </w:rPr>
        <w:t>)</w:t>
      </w:r>
      <w:r w:rsidR="0042282C" w:rsidRPr="00E00086">
        <w:rPr>
          <w:rFonts w:ascii="Times New Roman" w:hAnsi="Times New Roman"/>
          <w:color w:val="000000"/>
          <w:szCs w:val="24"/>
          <w:lang w:val="sr-Cyrl-RS"/>
        </w:rPr>
        <w:t>;</w:t>
      </w:r>
      <w:r w:rsidR="00995C8E" w:rsidRPr="00E00086">
        <w:rPr>
          <w:rFonts w:ascii="Times New Roman" w:hAnsi="Times New Roman"/>
          <w:color w:val="000000"/>
          <w:szCs w:val="24"/>
          <w:lang w:val="sr-Cyrl-RS"/>
        </w:rPr>
        <w:t xml:space="preserve"> </w:t>
      </w:r>
      <w:r w:rsidR="00995C8E" w:rsidRPr="00E00086">
        <w:rPr>
          <w:rFonts w:ascii="Times New Roman" w:hAnsi="Times New Roman"/>
          <w:b/>
          <w:bCs/>
          <w:color w:val="000000"/>
          <w:szCs w:val="24"/>
          <w:lang w:val="sr-Cyrl-RS"/>
        </w:rPr>
        <w:t>специјализоване услуге</w:t>
      </w:r>
      <w:r w:rsidR="00995C8E" w:rsidRPr="00E00086">
        <w:rPr>
          <w:rFonts w:ascii="Times New Roman" w:hAnsi="Times New Roman"/>
          <w:color w:val="000000"/>
          <w:szCs w:val="24"/>
          <w:lang w:val="sr-Cyrl-RS"/>
        </w:rPr>
        <w:t xml:space="preserve"> </w:t>
      </w:r>
      <w:r w:rsidR="004E7950" w:rsidRPr="00E00086">
        <w:rPr>
          <w:rFonts w:ascii="Times New Roman" w:hAnsi="Times New Roman"/>
          <w:color w:val="000000"/>
          <w:szCs w:val="24"/>
          <w:lang w:val="sr-Cyrl-RS"/>
        </w:rPr>
        <w:t>(</w:t>
      </w:r>
      <w:r w:rsidR="00C721BB" w:rsidRPr="00E00086">
        <w:rPr>
          <w:rFonts w:ascii="Times New Roman" w:hAnsi="Times New Roman"/>
          <w:color w:val="000000"/>
          <w:szCs w:val="24"/>
          <w:lang w:val="sr-Cyrl-RS"/>
        </w:rPr>
        <w:t xml:space="preserve">подршка реализацији општег интереса у научној истраживачкој делатности; </w:t>
      </w:r>
      <w:r w:rsidR="008F36F8" w:rsidRPr="00E00086">
        <w:rPr>
          <w:rFonts w:ascii="Times New Roman" w:hAnsi="Times New Roman"/>
          <w:color w:val="000000"/>
          <w:szCs w:val="24"/>
          <w:lang w:val="sr-Cyrl-RS"/>
        </w:rPr>
        <w:t xml:space="preserve">операције и </w:t>
      </w:r>
      <w:r w:rsidR="00CF328C" w:rsidRPr="00E00086">
        <w:rPr>
          <w:rFonts w:ascii="Times New Roman" w:hAnsi="Times New Roman"/>
          <w:color w:val="000000"/>
          <w:szCs w:val="24"/>
          <w:lang w:val="sr-Cyrl-RS"/>
        </w:rPr>
        <w:t xml:space="preserve">функционисање Министарства одбране и Војске Србије, </w:t>
      </w:r>
      <w:r w:rsidR="009A431D" w:rsidRPr="00E00086">
        <w:rPr>
          <w:rFonts w:ascii="Times New Roman" w:hAnsi="Times New Roman"/>
          <w:color w:val="000000"/>
          <w:szCs w:val="24"/>
          <w:lang w:val="sr-Cyrl-RS"/>
        </w:rPr>
        <w:t>стручн</w:t>
      </w:r>
      <w:r w:rsidR="00CF5AAB" w:rsidRPr="00E00086">
        <w:rPr>
          <w:rFonts w:ascii="Times New Roman" w:hAnsi="Times New Roman"/>
          <w:color w:val="000000"/>
          <w:szCs w:val="24"/>
          <w:lang w:val="sr-Cyrl-RS"/>
        </w:rPr>
        <w:t>а</w:t>
      </w:r>
      <w:r w:rsidR="009A431D" w:rsidRPr="00E00086">
        <w:rPr>
          <w:rFonts w:ascii="Times New Roman" w:hAnsi="Times New Roman"/>
          <w:color w:val="000000"/>
          <w:szCs w:val="24"/>
          <w:lang w:val="sr-Cyrl-RS"/>
        </w:rPr>
        <w:t xml:space="preserve"> и административн</w:t>
      </w:r>
      <w:r w:rsidR="00CF5AAB" w:rsidRPr="00E00086">
        <w:rPr>
          <w:rFonts w:ascii="Times New Roman" w:hAnsi="Times New Roman"/>
          <w:color w:val="000000"/>
          <w:szCs w:val="24"/>
          <w:lang w:val="sr-Cyrl-RS"/>
        </w:rPr>
        <w:t>а</w:t>
      </w:r>
      <w:r w:rsidR="009A431D" w:rsidRPr="00E00086">
        <w:rPr>
          <w:rFonts w:ascii="Times New Roman" w:hAnsi="Times New Roman"/>
          <w:color w:val="000000"/>
          <w:szCs w:val="24"/>
          <w:lang w:val="sr-Cyrl-RS"/>
        </w:rPr>
        <w:t xml:space="preserve"> подршк</w:t>
      </w:r>
      <w:r w:rsidR="00CF5AAB" w:rsidRPr="00E00086">
        <w:rPr>
          <w:rFonts w:ascii="Times New Roman" w:hAnsi="Times New Roman"/>
          <w:color w:val="000000"/>
          <w:szCs w:val="24"/>
          <w:lang w:val="sr-Cyrl-RS"/>
        </w:rPr>
        <w:t>а</w:t>
      </w:r>
      <w:r w:rsidR="009A431D" w:rsidRPr="00E00086">
        <w:rPr>
          <w:rFonts w:ascii="Times New Roman" w:hAnsi="Times New Roman"/>
          <w:color w:val="000000"/>
          <w:szCs w:val="24"/>
          <w:lang w:val="sr-Cyrl-RS"/>
        </w:rPr>
        <w:t xml:space="preserve"> у области привредног и регионалног развоја, </w:t>
      </w:r>
      <w:r w:rsidR="00CF328C" w:rsidRPr="00E00086">
        <w:rPr>
          <w:rFonts w:ascii="Times New Roman" w:hAnsi="Times New Roman"/>
          <w:color w:val="000000"/>
          <w:szCs w:val="24"/>
          <w:lang w:val="sr-Cyrl-RS"/>
        </w:rPr>
        <w:t>ваздушни саобраћај</w:t>
      </w:r>
      <w:r w:rsidR="00C35185" w:rsidRPr="00E00086">
        <w:rPr>
          <w:rFonts w:ascii="Times New Roman" w:hAnsi="Times New Roman"/>
          <w:color w:val="000000"/>
          <w:szCs w:val="24"/>
          <w:lang w:val="sr-Cyrl-RS"/>
        </w:rPr>
        <w:t xml:space="preserve">, </w:t>
      </w:r>
      <w:r w:rsidR="00744507" w:rsidRPr="00E00086">
        <w:rPr>
          <w:rFonts w:ascii="Times New Roman" w:hAnsi="Times New Roman"/>
          <w:color w:val="000000"/>
          <w:szCs w:val="24"/>
          <w:lang w:val="sr-Cyrl-RS"/>
        </w:rPr>
        <w:t>безбедност хране, ветеринарска и фитосанитарна политика</w:t>
      </w:r>
      <w:r w:rsidR="00C35185" w:rsidRPr="00E00086">
        <w:rPr>
          <w:rFonts w:ascii="Times New Roman" w:hAnsi="Times New Roman"/>
          <w:color w:val="000000"/>
          <w:szCs w:val="24"/>
          <w:lang w:val="sr-Cyrl-RS"/>
        </w:rPr>
        <w:t xml:space="preserve">, </w:t>
      </w:r>
      <w:r w:rsidR="0052392C">
        <w:rPr>
          <w:rFonts w:ascii="Times New Roman" w:hAnsi="Times New Roman"/>
          <w:color w:val="000000"/>
          <w:szCs w:val="24"/>
          <w:lang w:val="sr-Cyrl-RS"/>
        </w:rPr>
        <w:t>реализација делатности образовања,</w:t>
      </w:r>
      <w:r w:rsidR="0052392C" w:rsidRPr="00E00086">
        <w:rPr>
          <w:rFonts w:ascii="Times New Roman" w:hAnsi="Times New Roman"/>
          <w:color w:val="000000"/>
          <w:szCs w:val="24"/>
          <w:lang w:val="sr-Cyrl-RS"/>
        </w:rPr>
        <w:t xml:space="preserve"> </w:t>
      </w:r>
      <w:r w:rsidR="00CF328C" w:rsidRPr="00E00086">
        <w:rPr>
          <w:rFonts w:ascii="Times New Roman" w:hAnsi="Times New Roman"/>
          <w:color w:val="000000"/>
          <w:szCs w:val="24"/>
          <w:lang w:val="sr-Cyrl-RS"/>
        </w:rPr>
        <w:t>подршк</w:t>
      </w:r>
      <w:r w:rsidR="00CF5AAB" w:rsidRPr="00E00086">
        <w:rPr>
          <w:rFonts w:ascii="Times New Roman" w:hAnsi="Times New Roman"/>
          <w:color w:val="000000"/>
          <w:szCs w:val="24"/>
          <w:lang w:val="sr-Cyrl-RS"/>
        </w:rPr>
        <w:t>а</w:t>
      </w:r>
      <w:r w:rsidR="00CF328C" w:rsidRPr="00E00086">
        <w:rPr>
          <w:rFonts w:ascii="Times New Roman" w:hAnsi="Times New Roman"/>
          <w:color w:val="000000"/>
          <w:szCs w:val="24"/>
          <w:lang w:val="sr-Cyrl-RS"/>
        </w:rPr>
        <w:t xml:space="preserve"> раду универзитета, подршк</w:t>
      </w:r>
      <w:r w:rsidR="00CF5AAB" w:rsidRPr="00E00086">
        <w:rPr>
          <w:rFonts w:ascii="Times New Roman" w:hAnsi="Times New Roman"/>
          <w:color w:val="000000"/>
          <w:szCs w:val="24"/>
          <w:lang w:val="sr-Cyrl-RS"/>
        </w:rPr>
        <w:t>а</w:t>
      </w:r>
      <w:r w:rsidR="00CF328C" w:rsidRPr="00E00086">
        <w:rPr>
          <w:rFonts w:ascii="Times New Roman" w:hAnsi="Times New Roman"/>
          <w:color w:val="000000"/>
          <w:szCs w:val="24"/>
          <w:lang w:val="sr-Cyrl-RS"/>
        </w:rPr>
        <w:t xml:space="preserve"> раду установа културе у области савременог стваралаштва</w:t>
      </w:r>
      <w:r w:rsidR="00C721BB" w:rsidRPr="00E00086">
        <w:rPr>
          <w:rFonts w:ascii="Times New Roman" w:hAnsi="Times New Roman"/>
          <w:color w:val="000000"/>
          <w:szCs w:val="24"/>
          <w:lang w:val="sr-Cyrl-RS"/>
        </w:rPr>
        <w:t xml:space="preserve"> </w:t>
      </w:r>
      <w:r w:rsidR="00B05118" w:rsidRPr="00E00086">
        <w:rPr>
          <w:rFonts w:ascii="Times New Roman" w:hAnsi="Times New Roman"/>
          <w:color w:val="000000"/>
          <w:szCs w:val="24"/>
          <w:lang w:val="sr-Cyrl-RS"/>
        </w:rPr>
        <w:t>и др.</w:t>
      </w:r>
      <w:r w:rsidR="00757C6A" w:rsidRPr="00E00086">
        <w:rPr>
          <w:rFonts w:ascii="Times New Roman" w:hAnsi="Times New Roman"/>
          <w:color w:val="000000"/>
          <w:szCs w:val="24"/>
          <w:lang w:val="sr-Cyrl-RS"/>
        </w:rPr>
        <w:t>)</w:t>
      </w:r>
      <w:r w:rsidR="0042282C" w:rsidRPr="00E00086">
        <w:rPr>
          <w:rFonts w:ascii="Times New Roman" w:hAnsi="Times New Roman"/>
          <w:color w:val="000000"/>
          <w:szCs w:val="24"/>
          <w:lang w:val="sr-Cyrl-RS"/>
        </w:rPr>
        <w:t>;</w:t>
      </w:r>
      <w:r w:rsidR="00DF267C" w:rsidRPr="00E00086">
        <w:rPr>
          <w:rFonts w:ascii="Times New Roman" w:hAnsi="Times New Roman"/>
          <w:color w:val="000000"/>
          <w:szCs w:val="24"/>
          <w:lang w:val="sr-Cyrl-RS"/>
        </w:rPr>
        <w:t xml:space="preserve"> </w:t>
      </w:r>
      <w:r w:rsidR="00DF267C" w:rsidRPr="00E00086">
        <w:rPr>
          <w:rFonts w:ascii="Times New Roman" w:hAnsi="Times New Roman"/>
          <w:b/>
          <w:bCs/>
          <w:color w:val="000000"/>
          <w:szCs w:val="24"/>
          <w:lang w:val="sr-Cyrl-RS"/>
        </w:rPr>
        <w:t>текуће поправке и одржавање</w:t>
      </w:r>
      <w:r w:rsidR="00757C6A" w:rsidRPr="00E00086">
        <w:rPr>
          <w:rFonts w:ascii="Calibri" w:hAnsi="Calibri" w:cs="Calibri"/>
          <w:color w:val="000000"/>
          <w:sz w:val="22"/>
          <w:szCs w:val="22"/>
          <w:lang w:val="sr-Cyrl-RS"/>
        </w:rPr>
        <w:t xml:space="preserve"> (</w:t>
      </w:r>
      <w:r w:rsidR="00DF267C" w:rsidRPr="00E00086">
        <w:rPr>
          <w:rFonts w:ascii="Times New Roman" w:hAnsi="Times New Roman"/>
          <w:color w:val="000000"/>
          <w:szCs w:val="24"/>
          <w:lang w:val="sr-Cyrl-RS"/>
        </w:rPr>
        <w:t xml:space="preserve">текуће </w:t>
      </w:r>
      <w:r w:rsidR="00886BCF" w:rsidRPr="00E00086">
        <w:rPr>
          <w:rFonts w:ascii="Times New Roman" w:hAnsi="Times New Roman"/>
          <w:color w:val="000000"/>
          <w:szCs w:val="24"/>
          <w:lang w:val="sr-Cyrl-RS"/>
        </w:rPr>
        <w:t>поправке и одржавање</w:t>
      </w:r>
      <w:r w:rsidR="00DF267C" w:rsidRPr="00E00086">
        <w:rPr>
          <w:rFonts w:ascii="Times New Roman" w:hAnsi="Times New Roman"/>
          <w:color w:val="000000"/>
          <w:szCs w:val="24"/>
          <w:lang w:val="sr-Cyrl-RS"/>
        </w:rPr>
        <w:t xml:space="preserve"> </w:t>
      </w:r>
      <w:r w:rsidR="00886BCF" w:rsidRPr="00E00086">
        <w:rPr>
          <w:rFonts w:ascii="Times New Roman" w:hAnsi="Times New Roman"/>
          <w:color w:val="000000"/>
          <w:szCs w:val="24"/>
          <w:lang w:val="sr-Cyrl-RS"/>
        </w:rPr>
        <w:t>у</w:t>
      </w:r>
      <w:r w:rsidR="00757C6A" w:rsidRPr="00E00086">
        <w:rPr>
          <w:rFonts w:ascii="Times New Roman" w:hAnsi="Times New Roman"/>
          <w:color w:val="000000"/>
          <w:szCs w:val="24"/>
          <w:lang w:val="sr-Cyrl-RS"/>
        </w:rPr>
        <w:t xml:space="preserve"> </w:t>
      </w:r>
      <w:r w:rsidR="00C35185" w:rsidRPr="00E00086">
        <w:rPr>
          <w:rFonts w:ascii="Times New Roman" w:hAnsi="Times New Roman"/>
          <w:color w:val="000000"/>
          <w:szCs w:val="24"/>
          <w:lang w:val="sr-Cyrl-RS"/>
        </w:rPr>
        <w:t xml:space="preserve">војсци и полицији, </w:t>
      </w:r>
      <w:r w:rsidR="00C35185" w:rsidRPr="00E00086">
        <w:rPr>
          <w:lang w:val="sr-Cyrl-RS"/>
        </w:rPr>
        <w:t xml:space="preserve">уређење водотока и заштита од штетног дејства вода </w:t>
      </w:r>
      <w:r w:rsidR="00DF267C" w:rsidRPr="00E00086">
        <w:rPr>
          <w:rFonts w:ascii="Times New Roman" w:hAnsi="Times New Roman"/>
          <w:color w:val="000000"/>
          <w:szCs w:val="24"/>
          <w:lang w:val="sr-Cyrl-RS"/>
        </w:rPr>
        <w:t>и др</w:t>
      </w:r>
      <w:r w:rsidR="006011D7" w:rsidRPr="00E00086">
        <w:rPr>
          <w:rFonts w:ascii="Times New Roman" w:hAnsi="Times New Roman"/>
          <w:color w:val="000000"/>
          <w:szCs w:val="24"/>
          <w:lang w:val="sr-Cyrl-RS"/>
        </w:rPr>
        <w:t>.</w:t>
      </w:r>
      <w:r w:rsidR="00757C6A" w:rsidRPr="00E00086">
        <w:rPr>
          <w:rFonts w:ascii="Times New Roman" w:hAnsi="Times New Roman"/>
          <w:color w:val="000000"/>
          <w:szCs w:val="24"/>
          <w:lang w:val="sr-Cyrl-RS"/>
        </w:rPr>
        <w:t>)</w:t>
      </w:r>
      <w:r w:rsidR="0042282C" w:rsidRPr="00E00086">
        <w:rPr>
          <w:rFonts w:ascii="Times New Roman" w:hAnsi="Times New Roman"/>
          <w:color w:val="000000"/>
          <w:szCs w:val="24"/>
          <w:lang w:val="sr-Cyrl-RS"/>
        </w:rPr>
        <w:t>;</w:t>
      </w:r>
      <w:r w:rsidR="00DF267C" w:rsidRPr="00E00086">
        <w:rPr>
          <w:rFonts w:ascii="Times New Roman" w:hAnsi="Times New Roman"/>
          <w:color w:val="000000"/>
          <w:szCs w:val="24"/>
          <w:lang w:val="sr-Cyrl-RS"/>
        </w:rPr>
        <w:t xml:space="preserve"> </w:t>
      </w:r>
      <w:r w:rsidR="00DF267C" w:rsidRPr="00E00086">
        <w:rPr>
          <w:rFonts w:ascii="Times New Roman" w:hAnsi="Times New Roman"/>
          <w:b/>
          <w:bCs/>
          <w:color w:val="000000"/>
          <w:szCs w:val="24"/>
          <w:lang w:val="sr-Cyrl-RS"/>
        </w:rPr>
        <w:t>материјал</w:t>
      </w:r>
      <w:r w:rsidR="00886BCF" w:rsidRPr="00E00086">
        <w:rPr>
          <w:rFonts w:ascii="Times New Roman" w:hAnsi="Times New Roman"/>
          <w:b/>
          <w:bCs/>
          <w:color w:val="000000"/>
          <w:szCs w:val="24"/>
          <w:lang w:val="sr-Cyrl-RS"/>
        </w:rPr>
        <w:t xml:space="preserve"> </w:t>
      </w:r>
      <w:r w:rsidR="00886BCF" w:rsidRPr="00E00086">
        <w:rPr>
          <w:rFonts w:ascii="Times New Roman" w:hAnsi="Times New Roman"/>
          <w:color w:val="000000"/>
          <w:szCs w:val="24"/>
          <w:lang w:val="sr-Cyrl-RS"/>
        </w:rPr>
        <w:t>(набавк</w:t>
      </w:r>
      <w:r w:rsidR="0042282C" w:rsidRPr="00E00086">
        <w:rPr>
          <w:rFonts w:ascii="Times New Roman" w:hAnsi="Times New Roman"/>
          <w:color w:val="000000"/>
          <w:szCs w:val="24"/>
          <w:lang w:val="sr-Cyrl-RS"/>
        </w:rPr>
        <w:t>а</w:t>
      </w:r>
      <w:r w:rsidR="00886BCF" w:rsidRPr="00E00086">
        <w:rPr>
          <w:rFonts w:ascii="Times New Roman" w:hAnsi="Times New Roman"/>
          <w:color w:val="000000"/>
          <w:szCs w:val="24"/>
          <w:lang w:val="sr-Cyrl-RS"/>
        </w:rPr>
        <w:t xml:space="preserve"> горива</w:t>
      </w:r>
      <w:r w:rsidR="00682B97" w:rsidRPr="00E00086">
        <w:rPr>
          <w:rFonts w:ascii="Times New Roman" w:hAnsi="Times New Roman"/>
          <w:color w:val="000000"/>
          <w:szCs w:val="24"/>
          <w:lang w:val="sr-Cyrl-RS"/>
        </w:rPr>
        <w:t>,</w:t>
      </w:r>
      <w:r w:rsidR="00886BCF" w:rsidRPr="00E00086">
        <w:rPr>
          <w:rFonts w:ascii="Times New Roman" w:hAnsi="Times New Roman"/>
          <w:color w:val="000000"/>
          <w:szCs w:val="24"/>
          <w:lang w:val="sr-Cyrl-RS"/>
        </w:rPr>
        <w:t xml:space="preserve"> </w:t>
      </w:r>
      <w:r w:rsidR="00682B97" w:rsidRPr="00E00086">
        <w:rPr>
          <w:rFonts w:ascii="Times New Roman" w:hAnsi="Times New Roman"/>
          <w:color w:val="000000"/>
          <w:szCs w:val="24"/>
          <w:lang w:val="sr-Cyrl-RS"/>
        </w:rPr>
        <w:t xml:space="preserve">намирница за припремање хране и униформи </w:t>
      </w:r>
      <w:r w:rsidR="00886BCF" w:rsidRPr="00E00086">
        <w:rPr>
          <w:rFonts w:ascii="Times New Roman" w:hAnsi="Times New Roman"/>
          <w:color w:val="000000"/>
          <w:szCs w:val="24"/>
          <w:lang w:val="sr-Cyrl-RS"/>
        </w:rPr>
        <w:t>за војску и полицију</w:t>
      </w:r>
      <w:r w:rsidR="00682B97" w:rsidRPr="00E00086">
        <w:rPr>
          <w:rFonts w:ascii="Times New Roman" w:hAnsi="Times New Roman"/>
          <w:color w:val="000000"/>
          <w:szCs w:val="24"/>
          <w:lang w:val="sr-Cyrl-RS"/>
        </w:rPr>
        <w:t>,</w:t>
      </w:r>
      <w:r w:rsidR="009D5C34" w:rsidRPr="00E00086">
        <w:rPr>
          <w:rFonts w:ascii="Times New Roman" w:hAnsi="Times New Roman"/>
          <w:color w:val="000000"/>
          <w:szCs w:val="24"/>
          <w:lang w:val="sr-Cyrl-RS"/>
        </w:rPr>
        <w:t xml:space="preserve"> </w:t>
      </w:r>
      <w:r w:rsidR="00886BCF" w:rsidRPr="00E00086">
        <w:rPr>
          <w:rFonts w:ascii="Times New Roman" w:hAnsi="Times New Roman"/>
          <w:color w:val="000000"/>
          <w:szCs w:val="24"/>
          <w:lang w:val="sr-Cyrl-RS"/>
        </w:rPr>
        <w:t>лекова за војно здравство, п</w:t>
      </w:r>
      <w:r w:rsidR="00995C8E" w:rsidRPr="00E00086">
        <w:rPr>
          <w:rFonts w:ascii="Times New Roman" w:hAnsi="Times New Roman"/>
          <w:color w:val="000000"/>
          <w:szCs w:val="24"/>
          <w:lang w:val="sr-Cyrl-RS"/>
        </w:rPr>
        <w:t>одршк</w:t>
      </w:r>
      <w:r w:rsidR="0042282C" w:rsidRPr="00E00086">
        <w:rPr>
          <w:rFonts w:ascii="Times New Roman" w:hAnsi="Times New Roman"/>
          <w:color w:val="000000"/>
          <w:szCs w:val="24"/>
          <w:lang w:val="sr-Cyrl-RS"/>
        </w:rPr>
        <w:t>а</w:t>
      </w:r>
      <w:r w:rsidR="00995C8E" w:rsidRPr="00E00086">
        <w:rPr>
          <w:rFonts w:ascii="Times New Roman" w:hAnsi="Times New Roman"/>
          <w:color w:val="000000"/>
          <w:szCs w:val="24"/>
          <w:lang w:val="sr-Cyrl-RS"/>
        </w:rPr>
        <w:t xml:space="preserve"> лицима лишених слободе</w:t>
      </w:r>
      <w:r w:rsidR="00886BCF" w:rsidRPr="00E00086">
        <w:rPr>
          <w:rFonts w:ascii="Times New Roman" w:hAnsi="Times New Roman"/>
          <w:color w:val="000000"/>
          <w:szCs w:val="24"/>
          <w:lang w:val="sr-Cyrl-RS"/>
        </w:rPr>
        <w:t xml:space="preserve">, </w:t>
      </w:r>
      <w:r w:rsidR="0067574F" w:rsidRPr="00E00086">
        <w:rPr>
          <w:rFonts w:ascii="Times New Roman" w:hAnsi="Times New Roman"/>
          <w:color w:val="000000"/>
          <w:szCs w:val="24"/>
          <w:lang w:val="sr-Cyrl-RS"/>
        </w:rPr>
        <w:t>п</w:t>
      </w:r>
      <w:r w:rsidR="00886BCF" w:rsidRPr="00E00086">
        <w:rPr>
          <w:rFonts w:ascii="Times New Roman" w:hAnsi="Times New Roman"/>
          <w:color w:val="000000"/>
          <w:szCs w:val="24"/>
          <w:lang w:val="sr-Cyrl-RS"/>
        </w:rPr>
        <w:t>одршк</w:t>
      </w:r>
      <w:r w:rsidR="0042282C" w:rsidRPr="00E00086">
        <w:rPr>
          <w:rFonts w:ascii="Times New Roman" w:hAnsi="Times New Roman"/>
          <w:color w:val="000000"/>
          <w:szCs w:val="24"/>
          <w:lang w:val="sr-Cyrl-RS"/>
        </w:rPr>
        <w:t>а</w:t>
      </w:r>
      <w:r w:rsidR="00886BCF" w:rsidRPr="00E00086">
        <w:rPr>
          <w:rFonts w:ascii="Times New Roman" w:hAnsi="Times New Roman"/>
          <w:color w:val="000000"/>
          <w:szCs w:val="24"/>
          <w:lang w:val="sr-Cyrl-RS"/>
        </w:rPr>
        <w:t xml:space="preserve"> образовањ</w:t>
      </w:r>
      <w:r w:rsidR="0067574F" w:rsidRPr="00E00086">
        <w:rPr>
          <w:rFonts w:ascii="Times New Roman" w:hAnsi="Times New Roman"/>
          <w:color w:val="000000"/>
          <w:szCs w:val="24"/>
          <w:lang w:val="sr-Cyrl-RS"/>
        </w:rPr>
        <w:t>у</w:t>
      </w:r>
      <w:r w:rsidR="00886BCF" w:rsidRPr="00E00086">
        <w:rPr>
          <w:rFonts w:ascii="Times New Roman" w:hAnsi="Times New Roman"/>
          <w:color w:val="000000"/>
          <w:szCs w:val="24"/>
          <w:lang w:val="sr-Cyrl-RS"/>
        </w:rPr>
        <w:t xml:space="preserve"> ученика и студената,</w:t>
      </w:r>
      <w:r w:rsidR="0018148C" w:rsidRPr="00E00086">
        <w:rPr>
          <w:rFonts w:ascii="Times New Roman" w:hAnsi="Times New Roman"/>
          <w:color w:val="000000"/>
          <w:szCs w:val="24"/>
          <w:lang w:val="sr-Cyrl-RS"/>
        </w:rPr>
        <w:t xml:space="preserve"> </w:t>
      </w:r>
      <w:r w:rsidR="00886BCF" w:rsidRPr="00E00086">
        <w:rPr>
          <w:rFonts w:ascii="Times New Roman" w:hAnsi="Times New Roman"/>
          <w:color w:val="000000"/>
          <w:szCs w:val="24"/>
          <w:lang w:val="sr-Cyrl-RS"/>
        </w:rPr>
        <w:t>набавк</w:t>
      </w:r>
      <w:r w:rsidR="0042282C" w:rsidRPr="00E00086">
        <w:rPr>
          <w:rFonts w:ascii="Times New Roman" w:hAnsi="Times New Roman"/>
          <w:color w:val="000000"/>
          <w:szCs w:val="24"/>
          <w:lang w:val="sr-Cyrl-RS"/>
        </w:rPr>
        <w:t>а</w:t>
      </w:r>
      <w:r w:rsidR="00886BCF" w:rsidRPr="00E00086">
        <w:rPr>
          <w:rFonts w:ascii="Times New Roman" w:hAnsi="Times New Roman"/>
          <w:color w:val="000000"/>
          <w:szCs w:val="24"/>
          <w:lang w:val="sr-Cyrl-RS"/>
        </w:rPr>
        <w:t xml:space="preserve"> наставних средстава за ученике, полазнике</w:t>
      </w:r>
      <w:r w:rsidR="00C14B3C" w:rsidRPr="00E00086">
        <w:rPr>
          <w:rFonts w:ascii="Times New Roman" w:hAnsi="Times New Roman"/>
          <w:color w:val="000000"/>
          <w:szCs w:val="24"/>
          <w:lang w:val="sr-Cyrl-RS"/>
        </w:rPr>
        <w:t xml:space="preserve"> и установе</w:t>
      </w:r>
      <w:r w:rsidR="00040DCF" w:rsidRPr="00E00086">
        <w:rPr>
          <w:rFonts w:ascii="Times New Roman" w:hAnsi="Times New Roman"/>
          <w:color w:val="000000"/>
          <w:szCs w:val="24"/>
          <w:lang w:val="sr-Cyrl-RS"/>
        </w:rPr>
        <w:t>, обављање делатности установа социјалне заштите, </w:t>
      </w:r>
      <w:r w:rsidR="00886BCF" w:rsidRPr="00E00086">
        <w:rPr>
          <w:rFonts w:ascii="Times New Roman" w:hAnsi="Times New Roman"/>
          <w:color w:val="000000"/>
          <w:szCs w:val="24"/>
          <w:lang w:val="sr-Cyrl-RS"/>
        </w:rPr>
        <w:t>с</w:t>
      </w:r>
      <w:r w:rsidR="00995C8E" w:rsidRPr="00E00086">
        <w:rPr>
          <w:rFonts w:ascii="Times New Roman" w:hAnsi="Times New Roman"/>
          <w:color w:val="000000"/>
          <w:szCs w:val="24"/>
          <w:lang w:val="sr-Cyrl-RS"/>
        </w:rPr>
        <w:t>истем одбране од града</w:t>
      </w:r>
      <w:r w:rsidR="008028A6" w:rsidRPr="00E00086">
        <w:rPr>
          <w:rFonts w:ascii="Times New Roman" w:hAnsi="Times New Roman"/>
          <w:color w:val="000000"/>
          <w:szCs w:val="24"/>
          <w:lang w:val="sr-Cyrl-RS"/>
        </w:rPr>
        <w:t>, одржавање објеката и oпреме, набавка опреме и материјала</w:t>
      </w:r>
      <w:r w:rsidR="00886BCF" w:rsidRPr="00E00086">
        <w:rPr>
          <w:rFonts w:ascii="Times New Roman" w:hAnsi="Times New Roman"/>
          <w:color w:val="000000"/>
          <w:szCs w:val="24"/>
          <w:lang w:val="sr-Cyrl-RS"/>
        </w:rPr>
        <w:t xml:space="preserve"> и др</w:t>
      </w:r>
      <w:r w:rsidR="00F50EDE" w:rsidRPr="00E00086">
        <w:rPr>
          <w:rFonts w:ascii="Times New Roman" w:hAnsi="Times New Roman"/>
          <w:color w:val="000000"/>
          <w:szCs w:val="24"/>
          <w:lang w:val="sr-Cyrl-RS"/>
        </w:rPr>
        <w:t>.</w:t>
      </w:r>
      <w:r w:rsidR="0067574F" w:rsidRPr="00E00086">
        <w:rPr>
          <w:rFonts w:ascii="Times New Roman" w:hAnsi="Times New Roman"/>
          <w:color w:val="000000"/>
          <w:szCs w:val="24"/>
          <w:lang w:val="sr-Cyrl-RS"/>
        </w:rPr>
        <w:t>)</w:t>
      </w:r>
      <w:r w:rsidR="00F50EDE" w:rsidRPr="00E00086">
        <w:rPr>
          <w:rFonts w:ascii="Times New Roman" w:hAnsi="Times New Roman"/>
          <w:color w:val="000000"/>
          <w:szCs w:val="24"/>
          <w:lang w:val="sr-Cyrl-RS"/>
        </w:rPr>
        <w:t>.</w:t>
      </w:r>
      <w:r w:rsidR="0067574F" w:rsidRPr="00E00086">
        <w:rPr>
          <w:rFonts w:ascii="Calibri" w:hAnsi="Calibri" w:cs="Calibri"/>
          <w:color w:val="000000"/>
          <w:sz w:val="22"/>
          <w:szCs w:val="22"/>
          <w:lang w:val="sr-Cyrl-RS"/>
        </w:rPr>
        <w:tab/>
      </w:r>
    </w:p>
    <w:p w14:paraId="3106B5E9" w14:textId="0A3031E5" w:rsidR="00AE51F8" w:rsidRPr="00E00086" w:rsidRDefault="000E57BF" w:rsidP="0067574F">
      <w:pPr>
        <w:tabs>
          <w:tab w:val="left" w:pos="720"/>
          <w:tab w:val="center" w:pos="1134"/>
        </w:tabs>
        <w:rPr>
          <w:rFonts w:ascii="Times New Roman" w:hAnsi="Times New Roman"/>
          <w:szCs w:val="24"/>
          <w:lang w:val="sr-Cyrl-RS"/>
        </w:rPr>
      </w:pPr>
      <w:r>
        <w:rPr>
          <w:rFonts w:ascii="Calibri" w:hAnsi="Calibri" w:cs="Calibri"/>
          <w:color w:val="000000"/>
          <w:sz w:val="22"/>
          <w:szCs w:val="22"/>
          <w:lang w:val="sr-Latn-RS"/>
        </w:rPr>
        <w:tab/>
      </w:r>
      <w:r w:rsidR="0060186A" w:rsidRPr="00E00086">
        <w:rPr>
          <w:rFonts w:ascii="Times New Roman" w:hAnsi="Times New Roman"/>
          <w:b/>
          <w:bCs/>
          <w:color w:val="000000"/>
          <w:szCs w:val="24"/>
          <w:lang w:val="sr-Cyrl-RS"/>
        </w:rPr>
        <w:t>Отплата камата и пратећи трошкови задуж</w:t>
      </w:r>
      <w:r w:rsidR="009A4AEC" w:rsidRPr="00E00086">
        <w:rPr>
          <w:rFonts w:ascii="Times New Roman" w:hAnsi="Times New Roman"/>
          <w:b/>
          <w:bCs/>
          <w:color w:val="000000"/>
          <w:szCs w:val="24"/>
          <w:lang w:val="sr-Cyrl-RS"/>
        </w:rPr>
        <w:t>ивања</w:t>
      </w:r>
      <w:r w:rsidR="0060186A" w:rsidRPr="00E00086">
        <w:rPr>
          <w:rFonts w:ascii="Times New Roman" w:hAnsi="Times New Roman"/>
          <w:szCs w:val="24"/>
          <w:lang w:val="sr-Cyrl-RS"/>
        </w:rPr>
        <w:t xml:space="preserve"> планирани су у износу од </w:t>
      </w:r>
      <w:r w:rsidR="009B7BAA" w:rsidRPr="00E00086">
        <w:rPr>
          <w:rFonts w:ascii="Times New Roman" w:hAnsi="Times New Roman"/>
          <w:szCs w:val="24"/>
          <w:lang w:val="sr-Cyrl-RS"/>
        </w:rPr>
        <w:t>220,25</w:t>
      </w:r>
      <w:r w:rsidR="0060186A" w:rsidRPr="00E00086">
        <w:rPr>
          <w:rFonts w:ascii="Times New Roman" w:hAnsi="Times New Roman"/>
          <w:szCs w:val="24"/>
          <w:lang w:val="sr-Cyrl-RS"/>
        </w:rPr>
        <w:t xml:space="preserve"> млрд динара </w:t>
      </w:r>
      <w:r w:rsidR="00AC1800" w:rsidRPr="00E00086">
        <w:rPr>
          <w:rFonts w:ascii="Times New Roman" w:hAnsi="Times New Roman"/>
          <w:szCs w:val="24"/>
          <w:lang w:val="sr-Cyrl-RS"/>
        </w:rPr>
        <w:t>и учествују са</w:t>
      </w:r>
      <w:r w:rsidR="0060186A" w:rsidRPr="00E00086">
        <w:rPr>
          <w:rFonts w:ascii="Times New Roman" w:hAnsi="Times New Roman"/>
          <w:szCs w:val="24"/>
          <w:lang w:val="sr-Cyrl-RS"/>
        </w:rPr>
        <w:t xml:space="preserve"> </w:t>
      </w:r>
      <w:r w:rsidR="00B37EC9" w:rsidRPr="00E00086">
        <w:rPr>
          <w:rFonts w:ascii="Times New Roman" w:hAnsi="Times New Roman"/>
          <w:szCs w:val="24"/>
          <w:lang w:val="sr-Cyrl-RS"/>
        </w:rPr>
        <w:t>8,2</w:t>
      </w:r>
      <w:r w:rsidR="00272C58" w:rsidRPr="00E00086">
        <w:rPr>
          <w:rFonts w:ascii="Times New Roman" w:hAnsi="Times New Roman"/>
          <w:szCs w:val="24"/>
          <w:lang w:val="sr-Cyrl-RS"/>
        </w:rPr>
        <w:t>8</w:t>
      </w:r>
      <w:r w:rsidR="00630863" w:rsidRPr="00E00086">
        <w:rPr>
          <w:rFonts w:ascii="Times New Roman" w:hAnsi="Times New Roman"/>
          <w:szCs w:val="24"/>
          <w:lang w:val="sr-Cyrl-RS"/>
        </w:rPr>
        <w:t>%</w:t>
      </w:r>
      <w:r w:rsidR="0060186A" w:rsidRPr="00E00086">
        <w:rPr>
          <w:rFonts w:ascii="Times New Roman" w:hAnsi="Times New Roman"/>
          <w:szCs w:val="24"/>
          <w:lang w:val="sr-Cyrl-RS"/>
        </w:rPr>
        <w:t xml:space="preserve"> </w:t>
      </w:r>
      <w:r w:rsidR="00AC1800" w:rsidRPr="00E00086">
        <w:rPr>
          <w:rFonts w:ascii="Times New Roman" w:hAnsi="Times New Roman"/>
          <w:szCs w:val="24"/>
          <w:lang w:val="sr-Cyrl-RS"/>
        </w:rPr>
        <w:t xml:space="preserve">у </w:t>
      </w:r>
      <w:r w:rsidR="006B7A26" w:rsidRPr="00E00086">
        <w:rPr>
          <w:rFonts w:ascii="Times New Roman" w:hAnsi="Times New Roman"/>
          <w:szCs w:val="24"/>
          <w:lang w:val="sr-Cyrl-RS"/>
        </w:rPr>
        <w:t>укупни</w:t>
      </w:r>
      <w:r w:rsidR="00AC1800" w:rsidRPr="00E00086">
        <w:rPr>
          <w:rFonts w:ascii="Times New Roman" w:hAnsi="Times New Roman"/>
          <w:szCs w:val="24"/>
          <w:lang w:val="sr-Cyrl-RS"/>
        </w:rPr>
        <w:t>м</w:t>
      </w:r>
      <w:r w:rsidR="006B7A26" w:rsidRPr="00E00086">
        <w:rPr>
          <w:rFonts w:ascii="Times New Roman" w:hAnsi="Times New Roman"/>
          <w:szCs w:val="24"/>
          <w:lang w:val="sr-Cyrl-RS"/>
        </w:rPr>
        <w:t xml:space="preserve"> расход</w:t>
      </w:r>
      <w:r w:rsidR="00AC1800" w:rsidRPr="00E00086">
        <w:rPr>
          <w:rFonts w:ascii="Times New Roman" w:hAnsi="Times New Roman"/>
          <w:szCs w:val="24"/>
          <w:lang w:val="sr-Cyrl-RS"/>
        </w:rPr>
        <w:t>има</w:t>
      </w:r>
      <w:r w:rsidR="006B7A26" w:rsidRPr="00E00086">
        <w:rPr>
          <w:rFonts w:ascii="Times New Roman" w:hAnsi="Times New Roman"/>
          <w:szCs w:val="24"/>
          <w:lang w:val="sr-Cyrl-RS"/>
        </w:rPr>
        <w:t xml:space="preserve"> и изда</w:t>
      </w:r>
      <w:r w:rsidR="00AC1800" w:rsidRPr="00E00086">
        <w:rPr>
          <w:rFonts w:ascii="Times New Roman" w:hAnsi="Times New Roman"/>
          <w:szCs w:val="24"/>
          <w:lang w:val="sr-Cyrl-RS"/>
        </w:rPr>
        <w:t>цима</w:t>
      </w:r>
      <w:r w:rsidR="00FB76E5" w:rsidRPr="00E00086">
        <w:rPr>
          <w:rFonts w:ascii="Times New Roman" w:hAnsi="Times New Roman"/>
          <w:szCs w:val="24"/>
          <w:lang w:val="sr-Cyrl-RS"/>
        </w:rPr>
        <w:t>. Средства су највећим делом планирана за сервисирање домаћег и спољног дуга и плаћања по гаранцијама.</w:t>
      </w:r>
    </w:p>
    <w:p w14:paraId="53C202FB" w14:textId="75638B13" w:rsidR="004822E2" w:rsidRDefault="00AE51F8" w:rsidP="00E82438">
      <w:pPr>
        <w:ind w:firstLine="720"/>
        <w:rPr>
          <w:rFonts w:ascii="Times New Roman" w:hAnsi="Times New Roman"/>
          <w:szCs w:val="24"/>
          <w:lang w:val="en-US"/>
        </w:rPr>
      </w:pPr>
      <w:r w:rsidRPr="00E00086">
        <w:rPr>
          <w:rFonts w:ascii="Times New Roman" w:hAnsi="Times New Roman"/>
          <w:b/>
          <w:szCs w:val="24"/>
          <w:lang w:val="sr-Cyrl-RS"/>
        </w:rPr>
        <w:t>Расходи за субвенци</w:t>
      </w:r>
      <w:r w:rsidR="00F2632E" w:rsidRPr="00E00086">
        <w:rPr>
          <w:rFonts w:ascii="Times New Roman" w:hAnsi="Times New Roman"/>
          <w:b/>
          <w:szCs w:val="24"/>
          <w:lang w:val="sr-Cyrl-RS"/>
        </w:rPr>
        <w:t>је</w:t>
      </w:r>
      <w:r w:rsidRPr="00E00086">
        <w:rPr>
          <w:rFonts w:ascii="Times New Roman" w:hAnsi="Times New Roman"/>
          <w:b/>
          <w:szCs w:val="24"/>
          <w:lang w:val="sr-Cyrl-RS"/>
        </w:rPr>
        <w:t xml:space="preserve"> </w:t>
      </w:r>
      <w:r w:rsidRPr="00E00086">
        <w:rPr>
          <w:rFonts w:ascii="Times New Roman" w:hAnsi="Times New Roman"/>
          <w:szCs w:val="24"/>
          <w:lang w:val="sr-Cyrl-RS"/>
        </w:rPr>
        <w:t>планирани</w:t>
      </w:r>
      <w:r w:rsidR="00F2632E" w:rsidRPr="00E00086">
        <w:rPr>
          <w:rFonts w:ascii="Times New Roman" w:hAnsi="Times New Roman"/>
          <w:szCs w:val="24"/>
          <w:lang w:val="sr-Cyrl-RS"/>
        </w:rPr>
        <w:t xml:space="preserve"> су</w:t>
      </w:r>
      <w:r w:rsidRPr="00E00086">
        <w:rPr>
          <w:rFonts w:ascii="Times New Roman" w:hAnsi="Times New Roman"/>
          <w:szCs w:val="24"/>
          <w:lang w:val="sr-Cyrl-RS"/>
        </w:rPr>
        <w:t xml:space="preserve"> у укупном износу од </w:t>
      </w:r>
      <w:bookmarkStart w:id="1" w:name="_Hlk119238563"/>
      <w:r w:rsidR="008C31BD" w:rsidRPr="00E00086">
        <w:rPr>
          <w:rFonts w:ascii="Times New Roman" w:hAnsi="Times New Roman"/>
          <w:szCs w:val="24"/>
          <w:lang w:val="sr-Cyrl-RS"/>
        </w:rPr>
        <w:t>224,</w:t>
      </w:r>
      <w:r w:rsidR="00F26D4C">
        <w:rPr>
          <w:rFonts w:ascii="Times New Roman" w:hAnsi="Times New Roman"/>
          <w:szCs w:val="24"/>
          <w:lang w:val="sr-Latn-RS"/>
        </w:rPr>
        <w:t>04</w:t>
      </w:r>
      <w:r w:rsidR="00B13E85" w:rsidRPr="00E00086">
        <w:rPr>
          <w:rFonts w:ascii="Times New Roman" w:hAnsi="Times New Roman"/>
          <w:szCs w:val="24"/>
          <w:lang w:val="sr-Cyrl-RS"/>
        </w:rPr>
        <w:t xml:space="preserve"> </w:t>
      </w:r>
      <w:r w:rsidRPr="00E00086">
        <w:rPr>
          <w:rFonts w:ascii="Times New Roman" w:hAnsi="Times New Roman"/>
          <w:szCs w:val="24"/>
          <w:lang w:val="sr-Cyrl-RS"/>
        </w:rPr>
        <w:t xml:space="preserve">млрд динара </w:t>
      </w:r>
      <w:bookmarkEnd w:id="1"/>
      <w:r w:rsidRPr="00E00086">
        <w:rPr>
          <w:rFonts w:ascii="Times New Roman" w:hAnsi="Times New Roman"/>
          <w:szCs w:val="24"/>
          <w:lang w:val="sr-Cyrl-RS"/>
        </w:rPr>
        <w:t xml:space="preserve">и учествују са </w:t>
      </w:r>
      <w:r w:rsidR="00CD2157" w:rsidRPr="00E00086">
        <w:rPr>
          <w:rFonts w:ascii="Times New Roman" w:hAnsi="Times New Roman"/>
          <w:szCs w:val="24"/>
          <w:lang w:val="sr-Cyrl-RS"/>
        </w:rPr>
        <w:t>8,</w:t>
      </w:r>
      <w:r w:rsidR="008C31BD" w:rsidRPr="00E00086">
        <w:rPr>
          <w:rFonts w:ascii="Times New Roman" w:hAnsi="Times New Roman"/>
          <w:szCs w:val="24"/>
          <w:lang w:val="sr-Cyrl-RS"/>
        </w:rPr>
        <w:t>4</w:t>
      </w:r>
      <w:r w:rsidR="00F26D4C">
        <w:rPr>
          <w:rFonts w:ascii="Times New Roman" w:hAnsi="Times New Roman"/>
          <w:szCs w:val="24"/>
          <w:lang w:val="sr-Latn-RS"/>
        </w:rPr>
        <w:t>2</w:t>
      </w:r>
      <w:r w:rsidR="00630863" w:rsidRPr="00E00086">
        <w:rPr>
          <w:rFonts w:ascii="Times New Roman" w:hAnsi="Times New Roman"/>
          <w:szCs w:val="24"/>
          <w:lang w:val="sr-Cyrl-RS"/>
        </w:rPr>
        <w:t>%</w:t>
      </w:r>
      <w:r w:rsidRPr="00E00086">
        <w:rPr>
          <w:rFonts w:ascii="Times New Roman" w:hAnsi="Times New Roman"/>
          <w:szCs w:val="24"/>
          <w:lang w:val="sr-Cyrl-RS"/>
        </w:rPr>
        <w:t xml:space="preserve"> у укупним расходима и издацима</w:t>
      </w:r>
      <w:r w:rsidR="007958D7" w:rsidRPr="00E00086">
        <w:rPr>
          <w:rFonts w:ascii="Times New Roman" w:hAnsi="Times New Roman"/>
          <w:szCs w:val="24"/>
          <w:lang w:val="sr-Cyrl-RS"/>
        </w:rPr>
        <w:t xml:space="preserve">. </w:t>
      </w:r>
      <w:r w:rsidRPr="00E00086">
        <w:rPr>
          <w:rFonts w:ascii="Times New Roman" w:hAnsi="Times New Roman"/>
          <w:szCs w:val="24"/>
          <w:lang w:val="sr-Cyrl-RS"/>
        </w:rPr>
        <w:t>Субвенције су највећим делом планиране за</w:t>
      </w:r>
      <w:r w:rsidR="00873964" w:rsidRPr="00E00086">
        <w:rPr>
          <w:rFonts w:ascii="Times New Roman" w:hAnsi="Times New Roman"/>
          <w:szCs w:val="24"/>
          <w:lang w:val="sr-Cyrl-RS"/>
        </w:rPr>
        <w:t>:</w:t>
      </w:r>
      <w:r w:rsidR="00596BD6" w:rsidRPr="00E00086">
        <w:rPr>
          <w:lang w:val="sr-Cyrl-RS"/>
        </w:rPr>
        <w:t xml:space="preserve"> </w:t>
      </w:r>
      <w:r w:rsidR="007958D7" w:rsidRPr="00E00086">
        <w:rPr>
          <w:rFonts w:ascii="Times New Roman" w:hAnsi="Times New Roman"/>
          <w:szCs w:val="24"/>
          <w:lang w:val="sr-Cyrl-RS"/>
        </w:rPr>
        <w:t>субвенције</w:t>
      </w:r>
      <w:r w:rsidR="00596BD6" w:rsidRPr="00E00086">
        <w:rPr>
          <w:rFonts w:ascii="Times New Roman" w:hAnsi="Times New Roman"/>
          <w:szCs w:val="24"/>
          <w:lang w:val="sr-Cyrl-RS"/>
        </w:rPr>
        <w:t xml:space="preserve"> у пољопривреди </w:t>
      </w:r>
      <w:r w:rsidR="00055A71" w:rsidRPr="00E00086">
        <w:rPr>
          <w:rFonts w:ascii="Times New Roman" w:hAnsi="Times New Roman"/>
          <w:szCs w:val="24"/>
          <w:lang w:val="sr-Cyrl-RS"/>
        </w:rPr>
        <w:t>(подршк</w:t>
      </w:r>
      <w:r w:rsidR="007958D7" w:rsidRPr="00E00086">
        <w:rPr>
          <w:rFonts w:ascii="Times New Roman" w:hAnsi="Times New Roman"/>
          <w:szCs w:val="24"/>
          <w:lang w:val="sr-Cyrl-RS"/>
        </w:rPr>
        <w:t>а</w:t>
      </w:r>
      <w:r w:rsidR="00055A71" w:rsidRPr="00E00086">
        <w:rPr>
          <w:rFonts w:ascii="Times New Roman" w:hAnsi="Times New Roman"/>
          <w:szCs w:val="24"/>
          <w:lang w:val="sr-Cyrl-RS"/>
        </w:rPr>
        <w:t xml:space="preserve"> реализацији мерама у оквиру </w:t>
      </w:r>
      <w:r w:rsidR="004D73DE" w:rsidRPr="00E00086">
        <w:rPr>
          <w:rFonts w:ascii="Times New Roman" w:hAnsi="Times New Roman"/>
          <w:szCs w:val="24"/>
          <w:lang w:val="sr-Cyrl-RS"/>
        </w:rPr>
        <w:t>д</w:t>
      </w:r>
      <w:r w:rsidR="00055A71" w:rsidRPr="00E00086">
        <w:rPr>
          <w:rFonts w:ascii="Times New Roman" w:hAnsi="Times New Roman"/>
          <w:szCs w:val="24"/>
          <w:lang w:val="sr-Cyrl-RS"/>
        </w:rPr>
        <w:t>иректних подстицаја у пољопривреди</w:t>
      </w:r>
      <w:r w:rsidR="00B101E8" w:rsidRPr="00E00086">
        <w:rPr>
          <w:rFonts w:ascii="Times New Roman" w:hAnsi="Times New Roman"/>
          <w:szCs w:val="24"/>
          <w:lang w:val="sr-Cyrl-RS"/>
        </w:rPr>
        <w:t>;</w:t>
      </w:r>
      <w:r w:rsidR="00055A71" w:rsidRPr="00E00086">
        <w:rPr>
          <w:rFonts w:ascii="Times New Roman" w:hAnsi="Times New Roman"/>
          <w:szCs w:val="24"/>
          <w:lang w:val="sr-Cyrl-RS"/>
        </w:rPr>
        <w:t xml:space="preserve"> подршк</w:t>
      </w:r>
      <w:r w:rsidR="007958D7" w:rsidRPr="00E00086">
        <w:rPr>
          <w:rFonts w:ascii="Times New Roman" w:hAnsi="Times New Roman"/>
          <w:szCs w:val="24"/>
          <w:lang w:val="sr-Cyrl-RS"/>
        </w:rPr>
        <w:t>а</w:t>
      </w:r>
      <w:r w:rsidR="00055A71" w:rsidRPr="00E00086">
        <w:rPr>
          <w:rFonts w:ascii="Times New Roman" w:hAnsi="Times New Roman"/>
          <w:szCs w:val="24"/>
          <w:lang w:val="sr-Cyrl-RS"/>
        </w:rPr>
        <w:t xml:space="preserve"> реализацији мерама руралног развоја</w:t>
      </w:r>
      <w:r w:rsidR="00E842C9" w:rsidRPr="00E00086">
        <w:rPr>
          <w:rFonts w:ascii="Times New Roman" w:hAnsi="Times New Roman"/>
          <w:szCs w:val="24"/>
          <w:lang w:val="sr-Cyrl-RS"/>
        </w:rPr>
        <w:t>;</w:t>
      </w:r>
      <w:r w:rsidR="00055A71" w:rsidRPr="00E00086">
        <w:rPr>
          <w:rFonts w:ascii="Times New Roman" w:hAnsi="Times New Roman"/>
          <w:szCs w:val="24"/>
          <w:lang w:val="sr-Cyrl-RS"/>
        </w:rPr>
        <w:t xml:space="preserve"> </w:t>
      </w:r>
      <w:r w:rsidR="00596BD6" w:rsidRPr="00E00086">
        <w:rPr>
          <w:rFonts w:ascii="Times New Roman" w:hAnsi="Times New Roman"/>
          <w:szCs w:val="24"/>
          <w:lang w:val="sr-Cyrl-RS"/>
        </w:rPr>
        <w:t>ИПАРД</w:t>
      </w:r>
      <w:r w:rsidR="00E842C9" w:rsidRPr="00E00086">
        <w:rPr>
          <w:rFonts w:ascii="Times New Roman" w:hAnsi="Times New Roman"/>
          <w:szCs w:val="24"/>
          <w:lang w:val="sr-Cyrl-RS"/>
        </w:rPr>
        <w:t>;</w:t>
      </w:r>
      <w:r w:rsidR="002360B7" w:rsidRPr="00E00086">
        <w:rPr>
          <w:rFonts w:ascii="Times New Roman" w:hAnsi="Times New Roman"/>
          <w:szCs w:val="24"/>
          <w:lang w:val="sr-Cyrl-RS"/>
        </w:rPr>
        <w:t xml:space="preserve"> подршк</w:t>
      </w:r>
      <w:r w:rsidR="001D077F" w:rsidRPr="00E00086">
        <w:rPr>
          <w:rFonts w:ascii="Times New Roman" w:hAnsi="Times New Roman"/>
          <w:szCs w:val="24"/>
          <w:lang w:val="sr-Cyrl-RS"/>
        </w:rPr>
        <w:t>а</w:t>
      </w:r>
      <w:r w:rsidR="002360B7" w:rsidRPr="00E00086">
        <w:rPr>
          <w:rFonts w:ascii="Times New Roman" w:hAnsi="Times New Roman"/>
          <w:szCs w:val="24"/>
          <w:lang w:val="sr-Cyrl-RS"/>
        </w:rPr>
        <w:t xml:space="preserve"> за заштиту здравља животиња и др.</w:t>
      </w:r>
      <w:r w:rsidR="007958D7" w:rsidRPr="00E00086">
        <w:rPr>
          <w:rFonts w:ascii="Times New Roman" w:hAnsi="Times New Roman"/>
          <w:szCs w:val="24"/>
          <w:lang w:val="sr-Cyrl-RS"/>
        </w:rPr>
        <w:t>);</w:t>
      </w:r>
      <w:r w:rsidR="00AE6CEE" w:rsidRPr="00E00086">
        <w:rPr>
          <w:rFonts w:ascii="Times New Roman" w:hAnsi="Times New Roman"/>
          <w:szCs w:val="24"/>
          <w:lang w:val="sr-Cyrl-RS"/>
        </w:rPr>
        <w:t xml:space="preserve"> </w:t>
      </w:r>
      <w:r w:rsidR="007958D7" w:rsidRPr="00E00086">
        <w:rPr>
          <w:rFonts w:ascii="Times New Roman" w:hAnsi="Times New Roman"/>
          <w:szCs w:val="24"/>
          <w:lang w:val="sr-Cyrl-RS"/>
        </w:rPr>
        <w:t xml:space="preserve">субвенције за </w:t>
      </w:r>
      <w:r w:rsidR="003E0332" w:rsidRPr="00E00086">
        <w:rPr>
          <w:rFonts w:ascii="Times New Roman" w:hAnsi="Times New Roman"/>
          <w:szCs w:val="24"/>
          <w:lang w:val="sr-Cyrl-RS"/>
        </w:rPr>
        <w:t>различите видове саобраћаја</w:t>
      </w:r>
      <w:r w:rsidR="007958D7" w:rsidRPr="00E00086">
        <w:rPr>
          <w:rFonts w:ascii="Times New Roman" w:hAnsi="Times New Roman"/>
          <w:szCs w:val="24"/>
          <w:lang w:val="sr-Cyrl-RS"/>
        </w:rPr>
        <w:t xml:space="preserve"> (друмски</w:t>
      </w:r>
      <w:r w:rsidR="00AF1FBD" w:rsidRPr="00E00086">
        <w:rPr>
          <w:rFonts w:ascii="Times New Roman" w:hAnsi="Times New Roman"/>
          <w:szCs w:val="24"/>
          <w:lang w:val="sr-Cyrl-RS"/>
        </w:rPr>
        <w:t>,</w:t>
      </w:r>
      <w:r w:rsidR="007958D7" w:rsidRPr="00E00086">
        <w:rPr>
          <w:rFonts w:ascii="Times New Roman" w:hAnsi="Times New Roman"/>
          <w:szCs w:val="24"/>
          <w:lang w:val="sr-Cyrl-RS"/>
        </w:rPr>
        <w:t xml:space="preserve"> железнички и ваздушни саобраћај);</w:t>
      </w:r>
      <w:r w:rsidR="004130A6" w:rsidRPr="00E00086">
        <w:rPr>
          <w:rFonts w:ascii="Times New Roman" w:hAnsi="Times New Roman"/>
          <w:szCs w:val="24"/>
          <w:lang w:val="sr-Cyrl-RS"/>
        </w:rPr>
        <w:t xml:space="preserve"> субвенције у привреди (улагања од посебног значаја у привреди и др.); </w:t>
      </w:r>
      <w:r w:rsidR="00FB1F64" w:rsidRPr="00E00086">
        <w:rPr>
          <w:rFonts w:ascii="Times New Roman" w:hAnsi="Times New Roman"/>
          <w:szCs w:val="24"/>
          <w:lang w:val="sr-Cyrl-RS"/>
        </w:rPr>
        <w:t xml:space="preserve">субвенције у области енергетике (консолидација пословања ЈП ПЕУ Ресавица; реализација пројекта БеоГрид2025, енергетски угрожени купац, подршка реализацији EXPO Београд 2027 и др.); </w:t>
      </w:r>
      <w:r w:rsidR="002360B7" w:rsidRPr="00E00086">
        <w:rPr>
          <w:rFonts w:ascii="Times New Roman" w:hAnsi="Times New Roman"/>
          <w:szCs w:val="24"/>
          <w:lang w:val="sr-Cyrl-RS"/>
        </w:rPr>
        <w:t>субвенције у области заштите животне средине (</w:t>
      </w:r>
      <w:r w:rsidR="00AE6CEE" w:rsidRPr="00E00086">
        <w:rPr>
          <w:rFonts w:ascii="Times New Roman" w:hAnsi="Times New Roman"/>
          <w:szCs w:val="24"/>
          <w:lang w:val="sr-Cyrl-RS"/>
        </w:rPr>
        <w:t>подстицај</w:t>
      </w:r>
      <w:r w:rsidR="002360B7" w:rsidRPr="00E00086">
        <w:rPr>
          <w:rFonts w:ascii="Times New Roman" w:hAnsi="Times New Roman"/>
          <w:szCs w:val="24"/>
          <w:lang w:val="sr-Cyrl-RS"/>
        </w:rPr>
        <w:t>и</w:t>
      </w:r>
      <w:r w:rsidR="00AE6CEE" w:rsidRPr="00E00086">
        <w:rPr>
          <w:rFonts w:ascii="Times New Roman" w:hAnsi="Times New Roman"/>
          <w:szCs w:val="24"/>
          <w:lang w:val="sr-Cyrl-RS"/>
        </w:rPr>
        <w:t xml:space="preserve"> за поновну употребу и искоришћење отпада</w:t>
      </w:r>
      <w:r w:rsidR="00AF1FBD" w:rsidRPr="00E00086">
        <w:rPr>
          <w:rFonts w:ascii="Times New Roman" w:hAnsi="Times New Roman"/>
          <w:szCs w:val="24"/>
          <w:lang w:val="sr-Cyrl-RS"/>
        </w:rPr>
        <w:t xml:space="preserve">; </w:t>
      </w:r>
      <w:r w:rsidR="002360B7" w:rsidRPr="00E00086">
        <w:rPr>
          <w:rFonts w:ascii="Times New Roman" w:hAnsi="Times New Roman"/>
          <w:szCs w:val="24"/>
          <w:lang w:val="sr-Cyrl-RS"/>
        </w:rPr>
        <w:t>субвенције у области културе (</w:t>
      </w:r>
      <w:r w:rsidR="00AE6CEE" w:rsidRPr="00E00086">
        <w:rPr>
          <w:rFonts w:ascii="Times New Roman" w:hAnsi="Times New Roman"/>
          <w:szCs w:val="24"/>
          <w:lang w:val="sr-Cyrl-RS"/>
        </w:rPr>
        <w:t>п</w:t>
      </w:r>
      <w:r w:rsidR="00596BD6" w:rsidRPr="00E00086">
        <w:rPr>
          <w:rFonts w:ascii="Times New Roman" w:hAnsi="Times New Roman"/>
          <w:szCs w:val="24"/>
          <w:lang w:val="sr-Cyrl-RS"/>
        </w:rPr>
        <w:t>одршк</w:t>
      </w:r>
      <w:r w:rsidR="002360B7" w:rsidRPr="00E00086">
        <w:rPr>
          <w:rFonts w:ascii="Times New Roman" w:hAnsi="Times New Roman"/>
          <w:szCs w:val="24"/>
          <w:lang w:val="sr-Cyrl-RS"/>
        </w:rPr>
        <w:t>а</w:t>
      </w:r>
      <w:r w:rsidR="00596BD6" w:rsidRPr="00E00086">
        <w:rPr>
          <w:rFonts w:ascii="Times New Roman" w:hAnsi="Times New Roman"/>
          <w:szCs w:val="24"/>
          <w:lang w:val="sr-Cyrl-RS"/>
        </w:rPr>
        <w:t xml:space="preserve"> филмској уметности и осталом аудиовизуелном стваралаштву</w:t>
      </w:r>
      <w:r w:rsidR="002360B7" w:rsidRPr="00E00086">
        <w:rPr>
          <w:rFonts w:ascii="Times New Roman" w:hAnsi="Times New Roman"/>
          <w:szCs w:val="24"/>
          <w:lang w:val="sr-Cyrl-RS"/>
        </w:rPr>
        <w:t xml:space="preserve"> и др.); субвенције у области науке и образовања (</w:t>
      </w:r>
      <w:r w:rsidR="00AE6CEE" w:rsidRPr="00E00086">
        <w:rPr>
          <w:rFonts w:ascii="Times New Roman" w:hAnsi="Times New Roman"/>
          <w:szCs w:val="24"/>
          <w:lang w:val="sr-Cyrl-RS"/>
        </w:rPr>
        <w:t>п</w:t>
      </w:r>
      <w:r w:rsidR="00596BD6" w:rsidRPr="00E00086">
        <w:rPr>
          <w:rFonts w:ascii="Times New Roman" w:hAnsi="Times New Roman"/>
          <w:szCs w:val="24"/>
          <w:lang w:val="sr-Cyrl-RS"/>
        </w:rPr>
        <w:t>одршк</w:t>
      </w:r>
      <w:r w:rsidR="002360B7" w:rsidRPr="00E00086">
        <w:rPr>
          <w:rFonts w:ascii="Times New Roman" w:hAnsi="Times New Roman"/>
          <w:szCs w:val="24"/>
          <w:lang w:val="sr-Cyrl-RS"/>
        </w:rPr>
        <w:t>а</w:t>
      </w:r>
      <w:r w:rsidR="00596BD6" w:rsidRPr="00E00086">
        <w:rPr>
          <w:rFonts w:ascii="Times New Roman" w:hAnsi="Times New Roman"/>
          <w:szCs w:val="24"/>
          <w:lang w:val="sr-Cyrl-RS"/>
        </w:rPr>
        <w:t xml:space="preserve"> раду Фонда за иновациону делатност</w:t>
      </w:r>
      <w:r w:rsidR="00354246" w:rsidRPr="00E00086">
        <w:rPr>
          <w:rFonts w:ascii="Times New Roman" w:hAnsi="Times New Roman"/>
          <w:szCs w:val="24"/>
          <w:lang w:val="sr-Cyrl-RS"/>
        </w:rPr>
        <w:t xml:space="preserve"> и Фонда за науку</w:t>
      </w:r>
      <w:r w:rsidR="002360B7" w:rsidRPr="00E00086">
        <w:rPr>
          <w:rFonts w:ascii="Times New Roman" w:hAnsi="Times New Roman"/>
          <w:szCs w:val="24"/>
          <w:lang w:val="sr-Cyrl-RS"/>
        </w:rPr>
        <w:t xml:space="preserve"> и др.);</w:t>
      </w:r>
      <w:r w:rsidR="00AE6CEE" w:rsidRPr="00E00086">
        <w:rPr>
          <w:rFonts w:ascii="Times New Roman" w:hAnsi="Times New Roman"/>
          <w:szCs w:val="24"/>
          <w:lang w:val="sr-Cyrl-RS"/>
        </w:rPr>
        <w:t xml:space="preserve"> </w:t>
      </w:r>
      <w:r w:rsidR="00A85D90" w:rsidRPr="00E00086">
        <w:rPr>
          <w:rFonts w:ascii="Times New Roman" w:hAnsi="Times New Roman"/>
          <w:szCs w:val="24"/>
          <w:lang w:val="sr-Cyrl-RS"/>
        </w:rPr>
        <w:t xml:space="preserve">субвенције у области туризма (ваучери за </w:t>
      </w:r>
      <w:r w:rsidR="00A85D90" w:rsidRPr="00F61DD8">
        <w:rPr>
          <w:rFonts w:ascii="Times New Roman" w:hAnsi="Times New Roman"/>
          <w:szCs w:val="24"/>
          <w:lang w:val="sr-Cyrl-RS"/>
        </w:rPr>
        <w:t>интензивирање коришћења туристичке понуде Републике Србије</w:t>
      </w:r>
      <w:r w:rsidR="00B101E8" w:rsidRPr="00F61DD8">
        <w:rPr>
          <w:rFonts w:ascii="Times New Roman" w:hAnsi="Times New Roman"/>
          <w:szCs w:val="24"/>
          <w:lang w:val="sr-Cyrl-RS"/>
        </w:rPr>
        <w:t>;</w:t>
      </w:r>
      <w:r w:rsidR="00A85D90" w:rsidRPr="00F61DD8">
        <w:rPr>
          <w:rFonts w:ascii="Times New Roman" w:hAnsi="Times New Roman"/>
          <w:szCs w:val="24"/>
          <w:lang w:val="sr-Cyrl-RS"/>
        </w:rPr>
        <w:t xml:space="preserve"> подршка раду Туристичке организације Србије</w:t>
      </w:r>
      <w:r w:rsidR="0075277E" w:rsidRPr="00F61DD8">
        <w:rPr>
          <w:rFonts w:ascii="Times New Roman" w:hAnsi="Times New Roman"/>
          <w:szCs w:val="24"/>
          <w:lang w:val="sr-Cyrl-RS"/>
        </w:rPr>
        <w:t xml:space="preserve"> </w:t>
      </w:r>
      <w:r w:rsidR="00A85D90" w:rsidRPr="00F61DD8">
        <w:rPr>
          <w:rFonts w:ascii="Times New Roman" w:hAnsi="Times New Roman"/>
          <w:szCs w:val="24"/>
          <w:lang w:val="sr-Cyrl-RS"/>
        </w:rPr>
        <w:t xml:space="preserve">и др.); </w:t>
      </w:r>
      <w:r w:rsidR="00354246" w:rsidRPr="00F61DD8">
        <w:rPr>
          <w:rFonts w:ascii="Times New Roman" w:hAnsi="Times New Roman"/>
          <w:szCs w:val="24"/>
          <w:lang w:val="sr-Cyrl-RS"/>
        </w:rPr>
        <w:t>остале субвенције (подршка унапређењу квалитета живота српског и неалбанског становништва на територији АП Косово и Метохија</w:t>
      </w:r>
      <w:r w:rsidR="00B101E8" w:rsidRPr="00F61DD8">
        <w:rPr>
          <w:rFonts w:ascii="Times New Roman" w:hAnsi="Times New Roman"/>
          <w:szCs w:val="24"/>
          <w:lang w:val="sr-Cyrl-RS"/>
        </w:rPr>
        <w:t>;</w:t>
      </w:r>
      <w:r w:rsidR="00354246" w:rsidRPr="00F61DD8">
        <w:rPr>
          <w:rFonts w:ascii="Times New Roman" w:hAnsi="Times New Roman"/>
          <w:szCs w:val="24"/>
          <w:lang w:val="sr-Cyrl-RS"/>
        </w:rPr>
        <w:t xml:space="preserve"> подршка предузећима за професионалну рехабилитацију особа са инвалидитетом</w:t>
      </w:r>
      <w:r w:rsidR="00B101E8" w:rsidRPr="00F61DD8">
        <w:rPr>
          <w:rFonts w:ascii="Times New Roman" w:hAnsi="Times New Roman"/>
          <w:szCs w:val="24"/>
          <w:lang w:val="sr-Cyrl-RS"/>
        </w:rPr>
        <w:t>;</w:t>
      </w:r>
      <w:r w:rsidR="00D6540B" w:rsidRPr="00F61DD8">
        <w:rPr>
          <w:rFonts w:ascii="Times New Roman" w:hAnsi="Times New Roman"/>
          <w:szCs w:val="24"/>
          <w:lang w:val="sr-Cyrl-RS"/>
        </w:rPr>
        <w:t xml:space="preserve"> </w:t>
      </w:r>
      <w:r w:rsidR="00E96AD3" w:rsidRPr="00F61DD8">
        <w:rPr>
          <w:rFonts w:ascii="Times New Roman" w:hAnsi="Times New Roman"/>
          <w:szCs w:val="24"/>
          <w:lang w:val="sr-Cyrl-RS"/>
        </w:rPr>
        <w:t xml:space="preserve">организација Лиге нације у одбојци за жене </w:t>
      </w:r>
      <w:r w:rsidR="003B17D3" w:rsidRPr="00F61DD8">
        <w:rPr>
          <w:rFonts w:ascii="Times New Roman" w:hAnsi="Times New Roman"/>
          <w:szCs w:val="24"/>
          <w:lang w:val="sr-Cyrl-RS"/>
        </w:rPr>
        <w:t xml:space="preserve">и мушкарце </w:t>
      </w:r>
      <w:r w:rsidR="00E96AD3" w:rsidRPr="00F61DD8">
        <w:rPr>
          <w:rFonts w:ascii="Times New Roman" w:hAnsi="Times New Roman"/>
          <w:szCs w:val="24"/>
          <w:lang w:val="sr-Cyrl-RS"/>
        </w:rPr>
        <w:t xml:space="preserve">2025. године </w:t>
      </w:r>
      <w:r w:rsidR="00354246" w:rsidRPr="00F61DD8">
        <w:rPr>
          <w:rFonts w:ascii="Times New Roman" w:hAnsi="Times New Roman"/>
          <w:szCs w:val="24"/>
          <w:lang w:val="sr-Cyrl-RS"/>
        </w:rPr>
        <w:t xml:space="preserve">и </w:t>
      </w:r>
      <w:r w:rsidR="00A31588" w:rsidRPr="00F61DD8">
        <w:rPr>
          <w:rFonts w:ascii="Times New Roman" w:hAnsi="Times New Roman"/>
          <w:szCs w:val="24"/>
          <w:lang w:val="sr-Cyrl-RS"/>
        </w:rPr>
        <w:t>др.</w:t>
      </w:r>
      <w:r w:rsidR="00354246" w:rsidRPr="00F61DD8">
        <w:rPr>
          <w:rFonts w:ascii="Times New Roman" w:hAnsi="Times New Roman"/>
          <w:szCs w:val="24"/>
          <w:lang w:val="sr-Cyrl-RS"/>
        </w:rPr>
        <w:t>)</w:t>
      </w:r>
      <w:r w:rsidR="0055204A" w:rsidRPr="00F61DD8">
        <w:rPr>
          <w:rFonts w:ascii="Times New Roman" w:hAnsi="Times New Roman"/>
          <w:szCs w:val="24"/>
          <w:lang w:val="sr-Cyrl-RS"/>
        </w:rPr>
        <w:t>.</w:t>
      </w:r>
    </w:p>
    <w:p w14:paraId="2E0025DC" w14:textId="77777777" w:rsidR="001514B1" w:rsidRPr="001514B1" w:rsidRDefault="001514B1" w:rsidP="00E82438">
      <w:pPr>
        <w:ind w:firstLine="720"/>
        <w:rPr>
          <w:rFonts w:ascii="Times New Roman" w:hAnsi="Times New Roman"/>
          <w:szCs w:val="24"/>
          <w:lang w:val="en-US" w:eastAsia="en-GB"/>
        </w:rPr>
      </w:pPr>
    </w:p>
    <w:p w14:paraId="24CA6272" w14:textId="6C71A003" w:rsidR="00761E0F" w:rsidRPr="00E00086" w:rsidRDefault="001B3CD4" w:rsidP="001D6C5D">
      <w:pPr>
        <w:tabs>
          <w:tab w:val="left" w:pos="720"/>
          <w:tab w:val="left" w:pos="900"/>
          <w:tab w:val="center" w:pos="1134"/>
        </w:tabs>
        <w:rPr>
          <w:rFonts w:ascii="Times New Roman" w:hAnsi="Times New Roman"/>
          <w:b/>
          <w:szCs w:val="24"/>
          <w:highlight w:val="yellow"/>
          <w:lang w:val="sr-Cyrl-RS"/>
        </w:rPr>
      </w:pPr>
      <w:r>
        <w:rPr>
          <w:noProof/>
        </w:rPr>
        <w:drawing>
          <wp:inline distT="0" distB="0" distL="0" distR="0" wp14:anchorId="5E147385" wp14:editId="13F02E49">
            <wp:extent cx="5884719" cy="2457450"/>
            <wp:effectExtent l="0" t="0" r="1905" b="0"/>
            <wp:docPr id="17405223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6180" cy="2462236"/>
                    </a:xfrm>
                    <a:prstGeom prst="rect">
                      <a:avLst/>
                    </a:prstGeom>
                    <a:noFill/>
                  </pic:spPr>
                </pic:pic>
              </a:graphicData>
            </a:graphic>
          </wp:inline>
        </w:drawing>
      </w:r>
    </w:p>
    <w:p w14:paraId="44A9B7FF" w14:textId="77777777" w:rsidR="00B22BF5" w:rsidRDefault="000F4B12" w:rsidP="002D10C3">
      <w:pPr>
        <w:tabs>
          <w:tab w:val="left" w:pos="720"/>
        </w:tabs>
        <w:outlineLvl w:val="0"/>
        <w:rPr>
          <w:rFonts w:ascii="Times New Roman" w:hAnsi="Times New Roman"/>
          <w:b/>
          <w:bCs/>
          <w:color w:val="000000"/>
          <w:szCs w:val="24"/>
          <w:lang w:val="sr-Latn-RS"/>
        </w:rPr>
      </w:pPr>
      <w:r w:rsidRPr="00E00086">
        <w:rPr>
          <w:rFonts w:ascii="Times New Roman" w:hAnsi="Times New Roman"/>
          <w:b/>
          <w:bCs/>
          <w:color w:val="000000"/>
          <w:szCs w:val="24"/>
          <w:lang w:val="sr-Cyrl-RS"/>
        </w:rPr>
        <w:lastRenderedPageBreak/>
        <w:tab/>
      </w:r>
    </w:p>
    <w:p w14:paraId="736EF6D2" w14:textId="3E048C60" w:rsidR="00AE51F8" w:rsidRPr="00E00086" w:rsidRDefault="00B22BF5" w:rsidP="002D10C3">
      <w:pPr>
        <w:tabs>
          <w:tab w:val="left" w:pos="720"/>
        </w:tabs>
        <w:outlineLvl w:val="0"/>
        <w:rPr>
          <w:rFonts w:ascii="Times New Roman" w:hAnsi="Times New Roman"/>
          <w:b/>
          <w:bCs/>
          <w:color w:val="000000"/>
          <w:szCs w:val="24"/>
          <w:lang w:val="sr-Cyrl-RS"/>
        </w:rPr>
      </w:pPr>
      <w:r>
        <w:rPr>
          <w:rFonts w:ascii="Times New Roman" w:hAnsi="Times New Roman"/>
          <w:b/>
          <w:bCs/>
          <w:color w:val="000000"/>
          <w:szCs w:val="24"/>
          <w:lang w:val="sr-Latn-RS"/>
        </w:rPr>
        <w:tab/>
      </w:r>
      <w:r w:rsidR="00AE51F8" w:rsidRPr="00E00086">
        <w:rPr>
          <w:rFonts w:ascii="Times New Roman" w:hAnsi="Times New Roman"/>
          <w:b/>
          <w:bCs/>
          <w:color w:val="000000"/>
          <w:szCs w:val="24"/>
          <w:lang w:val="sr-Cyrl-RS"/>
        </w:rPr>
        <w:t xml:space="preserve">Дотације међународним организацијама </w:t>
      </w:r>
      <w:r w:rsidR="00AE51F8" w:rsidRPr="00E00086">
        <w:rPr>
          <w:rFonts w:ascii="Times New Roman" w:hAnsi="Times New Roman"/>
          <w:color w:val="000000"/>
          <w:szCs w:val="24"/>
          <w:lang w:val="sr-Cyrl-RS"/>
        </w:rPr>
        <w:t>планиране су у износу од</w:t>
      </w:r>
      <w:r w:rsidR="00B13E85" w:rsidRPr="00E00086">
        <w:rPr>
          <w:rFonts w:ascii="Times New Roman" w:hAnsi="Times New Roman"/>
          <w:color w:val="000000"/>
          <w:szCs w:val="24"/>
          <w:lang w:val="sr-Cyrl-RS"/>
        </w:rPr>
        <w:t xml:space="preserve"> </w:t>
      </w:r>
      <w:r w:rsidR="00AA0B97" w:rsidRPr="00E00086">
        <w:rPr>
          <w:rFonts w:ascii="Times New Roman" w:hAnsi="Times New Roman"/>
          <w:color w:val="000000"/>
          <w:szCs w:val="24"/>
          <w:lang w:val="sr-Cyrl-RS"/>
        </w:rPr>
        <w:t>9,</w:t>
      </w:r>
      <w:r w:rsidR="001A1774" w:rsidRPr="00E00086">
        <w:rPr>
          <w:rFonts w:ascii="Times New Roman" w:hAnsi="Times New Roman"/>
          <w:color w:val="000000"/>
          <w:szCs w:val="24"/>
          <w:lang w:val="sr-Cyrl-RS"/>
        </w:rPr>
        <w:t>6</w:t>
      </w:r>
      <w:r w:rsidR="004F313D">
        <w:rPr>
          <w:rFonts w:ascii="Times New Roman" w:hAnsi="Times New Roman"/>
          <w:color w:val="000000"/>
          <w:szCs w:val="24"/>
          <w:lang w:val="sr-Latn-RS"/>
        </w:rPr>
        <w:t>7</w:t>
      </w:r>
      <w:r w:rsidR="00AE51F8" w:rsidRPr="00E00086">
        <w:rPr>
          <w:rFonts w:ascii="Times New Roman" w:hAnsi="Times New Roman"/>
          <w:color w:val="000000"/>
          <w:szCs w:val="24"/>
          <w:lang w:val="sr-Cyrl-RS"/>
        </w:rPr>
        <w:t xml:space="preserve"> млрд динара и њихово учешће у укупним расходима и издацима је 0,</w:t>
      </w:r>
      <w:r w:rsidR="008B22EA" w:rsidRPr="00E00086">
        <w:rPr>
          <w:rFonts w:ascii="Times New Roman" w:hAnsi="Times New Roman"/>
          <w:color w:val="000000"/>
          <w:szCs w:val="24"/>
          <w:lang w:val="sr-Cyrl-RS"/>
        </w:rPr>
        <w:t>36</w:t>
      </w:r>
      <w:r w:rsidR="00AE51F8" w:rsidRPr="00E00086">
        <w:rPr>
          <w:rFonts w:ascii="Times New Roman" w:hAnsi="Times New Roman"/>
          <w:color w:val="000000"/>
          <w:szCs w:val="24"/>
          <w:lang w:val="sr-Cyrl-RS"/>
        </w:rPr>
        <w:t>%. Средства су планирана највећим делом за</w:t>
      </w:r>
      <w:r w:rsidR="00E741EB" w:rsidRPr="00E00086">
        <w:rPr>
          <w:rFonts w:ascii="Times New Roman" w:hAnsi="Times New Roman"/>
          <w:szCs w:val="24"/>
          <w:lang w:val="sr-Cyrl-RS"/>
        </w:rPr>
        <w:t>:</w:t>
      </w:r>
      <w:r w:rsidR="00AE51F8" w:rsidRPr="00E00086">
        <w:rPr>
          <w:rFonts w:ascii="Times New Roman" w:hAnsi="Times New Roman"/>
          <w:szCs w:val="24"/>
          <w:lang w:val="sr-Cyrl-RS"/>
        </w:rPr>
        <w:t xml:space="preserve"> ИПА подршку за учешће у програмима ЕУ</w:t>
      </w:r>
      <w:r w:rsidR="000B2E1D" w:rsidRPr="00E00086">
        <w:rPr>
          <w:rFonts w:ascii="Times New Roman" w:hAnsi="Times New Roman"/>
          <w:szCs w:val="24"/>
          <w:lang w:val="sr-Cyrl-RS"/>
        </w:rPr>
        <w:t>;</w:t>
      </w:r>
      <w:r w:rsidR="00AE51F8" w:rsidRPr="00E00086">
        <w:rPr>
          <w:rFonts w:ascii="Times New Roman" w:hAnsi="Times New Roman"/>
          <w:szCs w:val="24"/>
          <w:lang w:val="sr-Cyrl-RS"/>
        </w:rPr>
        <w:t xml:space="preserve"> </w:t>
      </w:r>
      <w:r w:rsidR="00F93025" w:rsidRPr="00E00086">
        <w:rPr>
          <w:rFonts w:ascii="Times New Roman" w:hAnsi="Times New Roman"/>
          <w:szCs w:val="24"/>
          <w:lang w:val="sr-Cyrl-RS"/>
        </w:rPr>
        <w:t>подршку интеграцији у европски образовни простор</w:t>
      </w:r>
      <w:r w:rsidR="000B2E1D" w:rsidRPr="00E00086">
        <w:rPr>
          <w:rFonts w:ascii="Times New Roman" w:hAnsi="Times New Roman"/>
          <w:szCs w:val="24"/>
          <w:lang w:val="sr-Cyrl-RS"/>
        </w:rPr>
        <w:t>;</w:t>
      </w:r>
      <w:r w:rsidR="00F93025" w:rsidRPr="00E00086">
        <w:rPr>
          <w:rFonts w:ascii="Times New Roman" w:hAnsi="Times New Roman"/>
          <w:szCs w:val="24"/>
          <w:lang w:val="sr-Cyrl-RS"/>
        </w:rPr>
        <w:t xml:space="preserve"> </w:t>
      </w:r>
      <w:r w:rsidR="00647CAE" w:rsidRPr="00E00086">
        <w:rPr>
          <w:rFonts w:ascii="Times New Roman" w:hAnsi="Times New Roman"/>
          <w:color w:val="000000"/>
          <w:szCs w:val="24"/>
          <w:lang w:val="sr-Cyrl-RS"/>
        </w:rPr>
        <w:t xml:space="preserve">административну подршку управљању финансијским и фискалним системом, </w:t>
      </w:r>
      <w:r w:rsidR="00AE51F8" w:rsidRPr="00E00086">
        <w:rPr>
          <w:rFonts w:ascii="Times New Roman" w:hAnsi="Times New Roman"/>
          <w:color w:val="000000"/>
          <w:szCs w:val="24"/>
          <w:lang w:val="sr-Cyrl-RS"/>
        </w:rPr>
        <w:t>чланство у међународним организацијама и међународне активности и сарадњу</w:t>
      </w:r>
      <w:r w:rsidR="004B4AB2" w:rsidRPr="00E00086">
        <w:rPr>
          <w:rFonts w:ascii="Times New Roman" w:hAnsi="Times New Roman"/>
          <w:color w:val="000000"/>
          <w:szCs w:val="24"/>
          <w:lang w:val="sr-Cyrl-RS"/>
        </w:rPr>
        <w:t xml:space="preserve"> и др</w:t>
      </w:r>
      <w:r w:rsidR="00AE51F8" w:rsidRPr="00E00086">
        <w:rPr>
          <w:rFonts w:ascii="Times New Roman" w:hAnsi="Times New Roman"/>
          <w:color w:val="000000"/>
          <w:szCs w:val="24"/>
          <w:lang w:val="sr-Cyrl-RS"/>
        </w:rPr>
        <w:t xml:space="preserve">. </w:t>
      </w:r>
    </w:p>
    <w:p w14:paraId="48627A20" w14:textId="4C30389F" w:rsidR="00CE2A83" w:rsidRPr="00E00086" w:rsidRDefault="000871DD" w:rsidP="00CE2A83">
      <w:pPr>
        <w:tabs>
          <w:tab w:val="left" w:pos="720"/>
        </w:tabs>
        <w:outlineLvl w:val="0"/>
        <w:rPr>
          <w:rStyle w:val="CharCharChar5"/>
          <w:rFonts w:ascii="Times New Roman" w:hAnsi="Times New Roman"/>
          <w:color w:val="000000"/>
          <w:szCs w:val="24"/>
          <w:lang w:val="sr-Cyrl-RS"/>
        </w:rPr>
      </w:pPr>
      <w:r w:rsidRPr="00E00086">
        <w:rPr>
          <w:rFonts w:ascii="Times New Roman" w:hAnsi="Times New Roman"/>
          <w:color w:val="000000"/>
          <w:szCs w:val="24"/>
          <w:lang w:val="sr-Cyrl-RS"/>
        </w:rPr>
        <w:tab/>
      </w:r>
      <w:r w:rsidR="00CE2A83" w:rsidRPr="00E00086">
        <w:rPr>
          <w:rFonts w:ascii="Times New Roman" w:hAnsi="Times New Roman"/>
          <w:b/>
          <w:szCs w:val="24"/>
          <w:lang w:val="sr-Cyrl-RS"/>
        </w:rPr>
        <w:t xml:space="preserve">Трансфери осталим нивоима власти </w:t>
      </w:r>
      <w:r w:rsidR="00CE2A83" w:rsidRPr="00E00086">
        <w:rPr>
          <w:rFonts w:ascii="Times New Roman" w:hAnsi="Times New Roman"/>
          <w:bCs/>
          <w:szCs w:val="24"/>
          <w:lang w:val="sr-Cyrl-RS"/>
        </w:rPr>
        <w:t>планирани</w:t>
      </w:r>
      <w:r w:rsidR="00CE2A83" w:rsidRPr="00E00086">
        <w:rPr>
          <w:rStyle w:val="CharCharChar5"/>
          <w:rFonts w:ascii="Times New Roman" w:hAnsi="Times New Roman"/>
          <w:bCs/>
          <w:szCs w:val="24"/>
          <w:lang w:val="sr-Cyrl-RS"/>
        </w:rPr>
        <w:t xml:space="preserve"> с</w:t>
      </w:r>
      <w:r w:rsidR="00CE2A83" w:rsidRPr="00E00086">
        <w:rPr>
          <w:rStyle w:val="CharCharChar5"/>
          <w:rFonts w:ascii="Times New Roman" w:hAnsi="Times New Roman"/>
          <w:szCs w:val="24"/>
          <w:lang w:val="sr-Cyrl-RS"/>
        </w:rPr>
        <w:t xml:space="preserve">у у укупном износу од </w:t>
      </w:r>
      <w:r w:rsidR="006928A1">
        <w:rPr>
          <w:rStyle w:val="CharCharChar5"/>
          <w:rFonts w:ascii="Times New Roman" w:hAnsi="Times New Roman"/>
          <w:szCs w:val="24"/>
          <w:lang w:val="sr-Latn-RS"/>
        </w:rPr>
        <w:t>81,43</w:t>
      </w:r>
      <w:r w:rsidR="00CE2A83" w:rsidRPr="00E00086">
        <w:rPr>
          <w:rStyle w:val="CharCharChar5"/>
          <w:rFonts w:ascii="Times New Roman" w:hAnsi="Times New Roman"/>
          <w:szCs w:val="24"/>
          <w:lang w:val="sr-Cyrl-RS"/>
        </w:rPr>
        <w:t xml:space="preserve"> млрд динара и учествују са </w:t>
      </w:r>
      <w:r w:rsidR="00B46411" w:rsidRPr="00E00086">
        <w:rPr>
          <w:rStyle w:val="CharCharChar5"/>
          <w:rFonts w:ascii="Times New Roman" w:hAnsi="Times New Roman"/>
          <w:szCs w:val="24"/>
          <w:lang w:val="sr-Cyrl-RS"/>
        </w:rPr>
        <w:t>3,0</w:t>
      </w:r>
      <w:r w:rsidR="006928A1">
        <w:rPr>
          <w:rStyle w:val="CharCharChar5"/>
          <w:rFonts w:ascii="Times New Roman" w:hAnsi="Times New Roman"/>
          <w:szCs w:val="24"/>
          <w:lang w:val="sr-Latn-RS"/>
        </w:rPr>
        <w:t>6</w:t>
      </w:r>
      <w:r w:rsidR="00630863" w:rsidRPr="00E00086">
        <w:rPr>
          <w:rStyle w:val="CharCharChar5"/>
          <w:rFonts w:ascii="Times New Roman" w:hAnsi="Times New Roman"/>
          <w:szCs w:val="24"/>
          <w:lang w:val="sr-Cyrl-RS"/>
        </w:rPr>
        <w:t>%</w:t>
      </w:r>
      <w:r w:rsidR="00CE2A83" w:rsidRPr="00E00086">
        <w:rPr>
          <w:rStyle w:val="CharCharChar5"/>
          <w:rFonts w:ascii="Times New Roman" w:hAnsi="Times New Roman"/>
          <w:szCs w:val="24"/>
          <w:lang w:val="sr-Cyrl-RS"/>
        </w:rPr>
        <w:t xml:space="preserve"> </w:t>
      </w:r>
      <w:r w:rsidR="00641494" w:rsidRPr="00E00086">
        <w:rPr>
          <w:rStyle w:val="CharCharChar5"/>
          <w:rFonts w:ascii="Times New Roman" w:hAnsi="Times New Roman"/>
          <w:szCs w:val="24"/>
          <w:lang w:val="sr-Cyrl-RS"/>
        </w:rPr>
        <w:t xml:space="preserve">у </w:t>
      </w:r>
      <w:r w:rsidR="00CE2A83" w:rsidRPr="00E00086">
        <w:rPr>
          <w:rStyle w:val="CharCharChar5"/>
          <w:rFonts w:ascii="Times New Roman" w:hAnsi="Times New Roman"/>
          <w:szCs w:val="24"/>
          <w:lang w:val="sr-Cyrl-RS"/>
        </w:rPr>
        <w:t>укупним расходима и издацима. Наведени трансфери су планирани за наменске и ненаменске трансфере јединицама локалне самоуправе и трансфере Аутономној покрајини Војводини.</w:t>
      </w:r>
    </w:p>
    <w:p w14:paraId="04F3FAD7" w14:textId="154345F9" w:rsidR="00CE2A83" w:rsidRPr="00E00086" w:rsidRDefault="00CE2A83" w:rsidP="00CE2A83">
      <w:pPr>
        <w:tabs>
          <w:tab w:val="left" w:pos="720"/>
        </w:tabs>
        <w:ind w:right="-90"/>
        <w:rPr>
          <w:rFonts w:ascii="Times New Roman" w:hAnsi="Times New Roman"/>
          <w:szCs w:val="24"/>
          <w:lang w:val="sr-Cyrl-RS"/>
        </w:rPr>
      </w:pPr>
      <w:r w:rsidRPr="00E00086">
        <w:rPr>
          <w:rStyle w:val="CharCharChar5"/>
          <w:rFonts w:ascii="Times New Roman" w:hAnsi="Times New Roman"/>
          <w:szCs w:val="24"/>
          <w:lang w:val="sr-Cyrl-RS"/>
        </w:rPr>
        <w:tab/>
      </w:r>
      <w:r w:rsidRPr="00E00086">
        <w:rPr>
          <w:rFonts w:ascii="Times New Roman" w:hAnsi="Times New Roman"/>
          <w:szCs w:val="24"/>
          <w:lang w:val="sr-Cyrl-RS"/>
        </w:rPr>
        <w:t>Средства за покриће издатака буџета Аутономне покрајинe Војводине обезбедиће се из дела прихода од пореза на доходак грађана - пореза на зараде, у висини од 18% износа оствареног на териториј</w:t>
      </w:r>
      <w:r w:rsidR="00912A6C" w:rsidRPr="00E00086">
        <w:rPr>
          <w:rFonts w:ascii="Times New Roman" w:hAnsi="Times New Roman"/>
          <w:szCs w:val="24"/>
          <w:lang w:val="sr-Cyrl-RS"/>
        </w:rPr>
        <w:t>и Аутономне покрајине Војводине,</w:t>
      </w:r>
      <w:r w:rsidRPr="00E00086">
        <w:rPr>
          <w:rFonts w:ascii="Times New Roman" w:hAnsi="Times New Roman"/>
          <w:szCs w:val="24"/>
          <w:lang w:val="sr-Cyrl-RS"/>
        </w:rPr>
        <w:t xml:space="preserve"> из дела прихода од пореза на добит предузећа, у висини од 42,7% износа оствареног на територији Аутономне покрајине Војводине и</w:t>
      </w:r>
      <w:r w:rsidR="00EE2F13" w:rsidRPr="00E00086">
        <w:rPr>
          <w:rFonts w:ascii="Times New Roman" w:hAnsi="Times New Roman"/>
          <w:szCs w:val="24"/>
          <w:lang w:val="sr-Cyrl-RS"/>
        </w:rPr>
        <w:t xml:space="preserve"> из</w:t>
      </w:r>
      <w:r w:rsidRPr="00E00086">
        <w:rPr>
          <w:rFonts w:ascii="Times New Roman" w:hAnsi="Times New Roman"/>
          <w:szCs w:val="24"/>
          <w:lang w:val="sr-Cyrl-RS"/>
        </w:rPr>
        <w:t xml:space="preserve"> трансфера из буџета Републике Србије, и то:</w:t>
      </w:r>
    </w:p>
    <w:p w14:paraId="2FF61D9A" w14:textId="5943700F" w:rsidR="00CE2A83" w:rsidRPr="00E00086" w:rsidRDefault="00CE2A83" w:rsidP="00CE2A83">
      <w:pPr>
        <w:tabs>
          <w:tab w:val="left" w:pos="720"/>
        </w:tabs>
        <w:rPr>
          <w:rFonts w:ascii="Times New Roman" w:hAnsi="Times New Roman"/>
          <w:szCs w:val="24"/>
          <w:lang w:val="sr-Cyrl-RS"/>
        </w:rPr>
      </w:pPr>
      <w:r w:rsidRPr="00E00086">
        <w:rPr>
          <w:rFonts w:ascii="Times New Roman" w:hAnsi="Times New Roman"/>
          <w:szCs w:val="24"/>
          <w:lang w:val="sr-Cyrl-RS"/>
        </w:rPr>
        <w:tab/>
        <w:t xml:space="preserve">- трансфери за поверене послове у складу са законом којим се утврђују надлежности Аутономне покрајине Војводине; </w:t>
      </w:r>
    </w:p>
    <w:p w14:paraId="0FDA6B53" w14:textId="77777777" w:rsidR="00CE2A83" w:rsidRPr="00E00086" w:rsidRDefault="00CE2A83" w:rsidP="00CE2A83">
      <w:pPr>
        <w:tabs>
          <w:tab w:val="left" w:pos="720"/>
        </w:tabs>
        <w:rPr>
          <w:rFonts w:ascii="Times New Roman" w:hAnsi="Times New Roman"/>
          <w:szCs w:val="24"/>
          <w:lang w:val="sr-Cyrl-RS"/>
        </w:rPr>
      </w:pPr>
      <w:r w:rsidRPr="00E00086">
        <w:rPr>
          <w:rFonts w:ascii="Times New Roman" w:hAnsi="Times New Roman"/>
          <w:szCs w:val="24"/>
          <w:lang w:val="sr-Cyrl-RS"/>
        </w:rPr>
        <w:tab/>
        <w:t>- наменски и ненаменски трансфери јединицама локалне самоуправе са територије Аутономне покрајине Војводине, у складу са Законом о финансирању локалне самоуправе;</w:t>
      </w:r>
    </w:p>
    <w:p w14:paraId="36EFEC6B" w14:textId="7A6018CD" w:rsidR="00CE2A83" w:rsidRPr="00E00086" w:rsidRDefault="00CE2A83" w:rsidP="00CE2A83">
      <w:pPr>
        <w:tabs>
          <w:tab w:val="left" w:pos="720"/>
        </w:tabs>
        <w:rPr>
          <w:rFonts w:ascii="Times New Roman" w:hAnsi="Times New Roman"/>
          <w:szCs w:val="24"/>
          <w:lang w:val="sr-Cyrl-RS"/>
        </w:rPr>
      </w:pPr>
      <w:r w:rsidRPr="00E00086">
        <w:rPr>
          <w:rFonts w:ascii="Times New Roman" w:hAnsi="Times New Roman"/>
          <w:szCs w:val="24"/>
          <w:lang w:val="sr-Cyrl-RS"/>
        </w:rPr>
        <w:tab/>
        <w:t>- наменски капитални трансфери за пројекте које утврди Влада.</w:t>
      </w:r>
      <w:r w:rsidRPr="00E00086">
        <w:rPr>
          <w:rFonts w:ascii="Times New Roman" w:hAnsi="Times New Roman"/>
          <w:szCs w:val="24"/>
          <w:lang w:val="sr-Cyrl-RS"/>
        </w:rPr>
        <w:tab/>
      </w:r>
      <w:r w:rsidRPr="00E00086">
        <w:rPr>
          <w:rFonts w:ascii="Times New Roman" w:hAnsi="Times New Roman"/>
          <w:szCs w:val="24"/>
          <w:lang w:val="sr-Cyrl-RS"/>
        </w:rPr>
        <w:tab/>
      </w:r>
      <w:r w:rsidRPr="00E00086">
        <w:rPr>
          <w:rFonts w:ascii="Times New Roman" w:hAnsi="Times New Roman"/>
          <w:szCs w:val="24"/>
          <w:lang w:val="sr-Cyrl-RS"/>
        </w:rPr>
        <w:tab/>
      </w:r>
      <w:r w:rsidR="00912A6C" w:rsidRPr="00E00086">
        <w:rPr>
          <w:rFonts w:ascii="Times New Roman" w:hAnsi="Times New Roman"/>
          <w:szCs w:val="24"/>
          <w:lang w:val="sr-Cyrl-RS"/>
        </w:rPr>
        <w:t>У наредној табели</w:t>
      </w:r>
      <w:r w:rsidRPr="00E00086">
        <w:rPr>
          <w:rFonts w:ascii="Times New Roman" w:hAnsi="Times New Roman"/>
          <w:szCs w:val="24"/>
          <w:lang w:val="sr-Cyrl-RS"/>
        </w:rPr>
        <w:t xml:space="preserve"> приказана </w:t>
      </w:r>
      <w:r w:rsidR="00912A6C" w:rsidRPr="00E00086">
        <w:rPr>
          <w:rFonts w:ascii="Times New Roman" w:hAnsi="Times New Roman"/>
          <w:szCs w:val="24"/>
          <w:lang w:val="sr-Cyrl-RS"/>
        </w:rPr>
        <w:t xml:space="preserve">су </w:t>
      </w:r>
      <w:r w:rsidRPr="00E00086">
        <w:rPr>
          <w:rFonts w:ascii="Times New Roman" w:hAnsi="Times New Roman"/>
          <w:szCs w:val="24"/>
          <w:lang w:val="sr-Cyrl-RS"/>
        </w:rPr>
        <w:t xml:space="preserve">средства која се из буџета Републике Србије усмеравају буџету Аутономне покрајине Војводине (трансфери за поверене послове, наменски и ненаменски трансфери јединицама локалне самоуправе </w:t>
      </w:r>
      <w:r w:rsidR="00C07F69" w:rsidRPr="00E00086">
        <w:rPr>
          <w:rFonts w:ascii="Times New Roman" w:hAnsi="Times New Roman"/>
          <w:szCs w:val="24"/>
          <w:lang w:val="sr-Cyrl-RS"/>
        </w:rPr>
        <w:t>са територије АП Војводине и др</w:t>
      </w:r>
      <w:r w:rsidRPr="00E00086">
        <w:rPr>
          <w:rFonts w:ascii="Times New Roman" w:hAnsi="Times New Roman"/>
          <w:szCs w:val="24"/>
          <w:lang w:val="sr-Cyrl-RS"/>
        </w:rPr>
        <w:t>), као и средства намењена за капиталне издаткe:</w:t>
      </w:r>
    </w:p>
    <w:p w14:paraId="1081409F" w14:textId="77777777" w:rsidR="005A2A90" w:rsidRPr="00E00086" w:rsidRDefault="005A2A90" w:rsidP="00CE2A83">
      <w:pPr>
        <w:tabs>
          <w:tab w:val="left" w:pos="720"/>
        </w:tabs>
        <w:rPr>
          <w:rFonts w:ascii="Times New Roman" w:hAnsi="Times New Roman"/>
          <w:szCs w:val="24"/>
          <w:lang w:val="sr-Cyrl-RS"/>
        </w:rPr>
      </w:pPr>
    </w:p>
    <w:p w14:paraId="077BE5AD" w14:textId="77777777" w:rsidR="005A2A90" w:rsidRPr="00E00086" w:rsidRDefault="005A2A90" w:rsidP="00CE2A83">
      <w:pPr>
        <w:tabs>
          <w:tab w:val="left" w:pos="720"/>
        </w:tabs>
        <w:rPr>
          <w:rFonts w:ascii="Times New Roman" w:hAnsi="Times New Roman"/>
          <w:szCs w:val="24"/>
          <w:lang w:val="sr-Cyrl-RS"/>
        </w:rPr>
      </w:pPr>
    </w:p>
    <w:tbl>
      <w:tblPr>
        <w:tblW w:w="5734" w:type="pct"/>
        <w:tblInd w:w="-455" w:type="dxa"/>
        <w:tblLook w:val="04A0" w:firstRow="1" w:lastRow="0" w:firstColumn="1" w:lastColumn="0" w:noHBand="0" w:noVBand="1"/>
      </w:tblPr>
      <w:tblGrid>
        <w:gridCol w:w="632"/>
        <w:gridCol w:w="4132"/>
        <w:gridCol w:w="3932"/>
        <w:gridCol w:w="1701"/>
        <w:gridCol w:w="222"/>
      </w:tblGrid>
      <w:tr w:rsidR="00F91466" w:rsidRPr="00E00086" w14:paraId="74EE5463" w14:textId="77777777" w:rsidTr="00C76D4C">
        <w:trPr>
          <w:gridAfter w:val="1"/>
          <w:wAfter w:w="105" w:type="pct"/>
          <w:cantSplit/>
          <w:trHeight w:val="570"/>
          <w:tblHead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BC908A" w14:textId="77777777" w:rsidR="00C76D4C" w:rsidRPr="00E00086" w:rsidRDefault="00C76D4C" w:rsidP="0047334A">
            <w:pPr>
              <w:jc w:val="center"/>
              <w:rPr>
                <w:rFonts w:ascii="Times New Roman" w:hAnsi="Times New Roman"/>
                <w:b/>
                <w:bCs/>
                <w:color w:val="000000"/>
                <w:sz w:val="22"/>
                <w:szCs w:val="22"/>
                <w:lang w:val="sr-Cyrl-RS"/>
              </w:rPr>
            </w:pPr>
            <w:bookmarkStart w:id="2" w:name="_Hlk180837493"/>
          </w:p>
          <w:p w14:paraId="4D0628B5" w14:textId="5C018E4A" w:rsidR="00F91466" w:rsidRPr="00E00086" w:rsidRDefault="00F91466" w:rsidP="0047334A">
            <w:pPr>
              <w:jc w:val="center"/>
              <w:rPr>
                <w:rFonts w:ascii="Times New Roman" w:hAnsi="Times New Roman"/>
                <w:b/>
                <w:bCs/>
                <w:color w:val="000000"/>
                <w:sz w:val="22"/>
                <w:szCs w:val="22"/>
                <w:lang w:val="sr-Cyrl-RS"/>
              </w:rPr>
            </w:pPr>
            <w:r w:rsidRPr="00E00086">
              <w:rPr>
                <w:rFonts w:ascii="Times New Roman" w:hAnsi="Times New Roman"/>
                <w:b/>
                <w:bCs/>
                <w:color w:val="000000"/>
                <w:sz w:val="22"/>
                <w:szCs w:val="22"/>
                <w:lang w:val="sr-Cyrl-RS"/>
              </w:rPr>
              <w:t>Ред број</w:t>
            </w:r>
          </w:p>
        </w:tc>
        <w:tc>
          <w:tcPr>
            <w:tcW w:w="1946" w:type="pct"/>
            <w:tcBorders>
              <w:top w:val="single" w:sz="4" w:space="0" w:color="auto"/>
              <w:left w:val="nil"/>
              <w:bottom w:val="single" w:sz="4" w:space="0" w:color="auto"/>
              <w:right w:val="single" w:sz="4" w:space="0" w:color="auto"/>
            </w:tcBorders>
            <w:shd w:val="clear" w:color="auto" w:fill="auto"/>
            <w:vAlign w:val="center"/>
            <w:hideMark/>
          </w:tcPr>
          <w:p w14:paraId="0054827F" w14:textId="77777777" w:rsidR="00F91466" w:rsidRPr="00E00086" w:rsidRDefault="00F91466" w:rsidP="0047334A">
            <w:pPr>
              <w:jc w:val="center"/>
              <w:rPr>
                <w:rFonts w:ascii="Times New Roman" w:hAnsi="Times New Roman"/>
                <w:b/>
                <w:bCs/>
                <w:color w:val="000000"/>
                <w:sz w:val="22"/>
                <w:szCs w:val="22"/>
                <w:lang w:val="sr-Cyrl-RS"/>
              </w:rPr>
            </w:pPr>
            <w:r w:rsidRPr="00E00086">
              <w:rPr>
                <w:rFonts w:ascii="Times New Roman" w:hAnsi="Times New Roman"/>
                <w:b/>
                <w:bCs/>
                <w:color w:val="000000"/>
                <w:sz w:val="22"/>
                <w:szCs w:val="22"/>
                <w:lang w:val="sr-Cyrl-RS"/>
              </w:rPr>
              <w:t>Орган/организација</w:t>
            </w:r>
          </w:p>
        </w:tc>
        <w:tc>
          <w:tcPr>
            <w:tcW w:w="1851" w:type="pct"/>
            <w:tcBorders>
              <w:top w:val="single" w:sz="4" w:space="0" w:color="auto"/>
              <w:left w:val="nil"/>
              <w:bottom w:val="single" w:sz="4" w:space="0" w:color="auto"/>
              <w:right w:val="single" w:sz="4" w:space="0" w:color="auto"/>
            </w:tcBorders>
            <w:shd w:val="clear" w:color="auto" w:fill="auto"/>
            <w:vAlign w:val="center"/>
            <w:hideMark/>
          </w:tcPr>
          <w:p w14:paraId="451EF457" w14:textId="77777777" w:rsidR="00F91466" w:rsidRPr="00E00086" w:rsidRDefault="00F91466" w:rsidP="0047334A">
            <w:pPr>
              <w:jc w:val="center"/>
              <w:rPr>
                <w:rFonts w:ascii="Times New Roman" w:hAnsi="Times New Roman"/>
                <w:b/>
                <w:bCs/>
                <w:color w:val="000000"/>
                <w:sz w:val="22"/>
                <w:szCs w:val="22"/>
                <w:lang w:val="sr-Cyrl-RS"/>
              </w:rPr>
            </w:pPr>
            <w:r w:rsidRPr="00E00086">
              <w:rPr>
                <w:rFonts w:ascii="Times New Roman" w:hAnsi="Times New Roman"/>
                <w:b/>
                <w:bCs/>
                <w:color w:val="000000"/>
                <w:sz w:val="22"/>
                <w:szCs w:val="22"/>
                <w:lang w:val="sr-Cyrl-RS"/>
              </w:rPr>
              <w:t>Законски основ</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4F907BE8" w14:textId="77777777" w:rsidR="00F91466" w:rsidRPr="00E00086" w:rsidRDefault="00F91466" w:rsidP="0047334A">
            <w:pPr>
              <w:jc w:val="center"/>
              <w:rPr>
                <w:rFonts w:ascii="Times New Roman" w:hAnsi="Times New Roman"/>
                <w:b/>
                <w:bCs/>
                <w:color w:val="000000"/>
                <w:sz w:val="22"/>
                <w:szCs w:val="22"/>
                <w:lang w:val="sr-Cyrl-RS"/>
              </w:rPr>
            </w:pPr>
            <w:r w:rsidRPr="00E00086">
              <w:rPr>
                <w:rFonts w:ascii="Times New Roman" w:hAnsi="Times New Roman"/>
                <w:b/>
                <w:bCs/>
                <w:color w:val="000000"/>
                <w:sz w:val="22"/>
                <w:szCs w:val="22"/>
                <w:lang w:val="sr-Cyrl-RS"/>
              </w:rPr>
              <w:t>2025. год.</w:t>
            </w:r>
          </w:p>
        </w:tc>
      </w:tr>
      <w:tr w:rsidR="00F91466" w:rsidRPr="00E00086" w14:paraId="01AE1CB0" w14:textId="77777777" w:rsidTr="00C76D4C">
        <w:trPr>
          <w:gridAfter w:val="1"/>
          <w:wAfter w:w="105" w:type="pct"/>
          <w:trHeight w:val="300"/>
        </w:trPr>
        <w:tc>
          <w:tcPr>
            <w:tcW w:w="489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284363" w14:textId="77777777" w:rsidR="00F91466" w:rsidRPr="00E00086" w:rsidRDefault="00F91466" w:rsidP="0047334A">
            <w:pPr>
              <w:jc w:val="center"/>
              <w:rPr>
                <w:rFonts w:ascii="Times New Roman" w:hAnsi="Times New Roman"/>
                <w:b/>
                <w:bCs/>
                <w:color w:val="000000"/>
                <w:sz w:val="22"/>
                <w:szCs w:val="22"/>
                <w:lang w:val="sr-Cyrl-RS"/>
              </w:rPr>
            </w:pPr>
            <w:r w:rsidRPr="00E00086">
              <w:rPr>
                <w:rFonts w:ascii="Times New Roman" w:hAnsi="Times New Roman"/>
                <w:b/>
                <w:bCs/>
                <w:color w:val="000000"/>
                <w:sz w:val="22"/>
                <w:szCs w:val="22"/>
                <w:lang w:val="sr-Cyrl-RS"/>
              </w:rPr>
              <w:t>ТРАНСФЕРИ ИЗ БУЏЕТА РЕПУБЛИКЕ СРБИЈЕ</w:t>
            </w:r>
          </w:p>
        </w:tc>
      </w:tr>
      <w:tr w:rsidR="00F91466" w:rsidRPr="00E00086" w14:paraId="0031AE34" w14:textId="77777777" w:rsidTr="00C76D4C">
        <w:trPr>
          <w:gridAfter w:val="1"/>
          <w:wAfter w:w="105" w:type="pct"/>
          <w:trHeight w:val="600"/>
        </w:trPr>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F8F38D3" w14:textId="57D2AB98"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1</w:t>
            </w:r>
          </w:p>
        </w:tc>
        <w:tc>
          <w:tcPr>
            <w:tcW w:w="1946" w:type="pct"/>
            <w:tcBorders>
              <w:top w:val="nil"/>
              <w:left w:val="nil"/>
              <w:bottom w:val="single" w:sz="4" w:space="0" w:color="auto"/>
              <w:right w:val="single" w:sz="4" w:space="0" w:color="auto"/>
            </w:tcBorders>
            <w:shd w:val="clear" w:color="000000" w:fill="FFFFFF"/>
            <w:vAlign w:val="center"/>
            <w:hideMark/>
          </w:tcPr>
          <w:p w14:paraId="0483A291"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финансија</w:t>
            </w:r>
          </w:p>
        </w:tc>
        <w:tc>
          <w:tcPr>
            <w:tcW w:w="1851" w:type="pct"/>
            <w:tcBorders>
              <w:top w:val="nil"/>
              <w:left w:val="nil"/>
              <w:bottom w:val="single" w:sz="4" w:space="0" w:color="auto"/>
              <w:right w:val="single" w:sz="4" w:space="0" w:color="auto"/>
            </w:tcBorders>
            <w:shd w:val="clear" w:color="000000" w:fill="FFFFFF"/>
            <w:vAlign w:val="center"/>
            <w:hideMark/>
          </w:tcPr>
          <w:p w14:paraId="490049BA"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Закон о финансирању локалне самоуправе (ненаменски трансфер ЈЛС на територији AПВ).</w:t>
            </w:r>
          </w:p>
        </w:tc>
        <w:tc>
          <w:tcPr>
            <w:tcW w:w="801" w:type="pct"/>
            <w:tcBorders>
              <w:top w:val="nil"/>
              <w:left w:val="nil"/>
              <w:bottom w:val="single" w:sz="4" w:space="0" w:color="auto"/>
              <w:right w:val="single" w:sz="4" w:space="0" w:color="auto"/>
            </w:tcBorders>
            <w:shd w:val="clear" w:color="000000" w:fill="FFFFFF"/>
            <w:noWrap/>
            <w:vAlign w:val="center"/>
            <w:hideMark/>
          </w:tcPr>
          <w:p w14:paraId="2B192F20"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7.705.553.738</w:t>
            </w:r>
          </w:p>
        </w:tc>
      </w:tr>
      <w:tr w:rsidR="00F91466" w:rsidRPr="00E00086" w14:paraId="0F0A4AC0" w14:textId="77777777" w:rsidTr="00C76D4C">
        <w:trPr>
          <w:gridAfter w:val="1"/>
          <w:wAfter w:w="105" w:type="pct"/>
          <w:trHeight w:val="476"/>
        </w:trPr>
        <w:tc>
          <w:tcPr>
            <w:tcW w:w="2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0CF4B0A0"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2</w:t>
            </w:r>
          </w:p>
        </w:tc>
        <w:tc>
          <w:tcPr>
            <w:tcW w:w="194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228924A"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грађевинарства, саобраћаја и инфраструктуре</w:t>
            </w:r>
          </w:p>
        </w:tc>
        <w:tc>
          <w:tcPr>
            <w:tcW w:w="1851" w:type="pct"/>
            <w:vMerge w:val="restart"/>
            <w:tcBorders>
              <w:top w:val="nil"/>
              <w:left w:val="single" w:sz="4" w:space="0" w:color="auto"/>
              <w:bottom w:val="single" w:sz="4" w:space="0" w:color="auto"/>
              <w:right w:val="single" w:sz="4" w:space="0" w:color="auto"/>
            </w:tcBorders>
            <w:shd w:val="clear" w:color="000000" w:fill="FFFFFF"/>
            <w:vAlign w:val="center"/>
            <w:hideMark/>
          </w:tcPr>
          <w:p w14:paraId="0980F087"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Закон о утврђивању надлежности АП Војводина.</w:t>
            </w: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298127E"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15.000.000</w:t>
            </w:r>
          </w:p>
        </w:tc>
      </w:tr>
      <w:tr w:rsidR="00F91466" w:rsidRPr="00E00086" w14:paraId="6925041A" w14:textId="77777777" w:rsidTr="00C76D4C">
        <w:trPr>
          <w:trHeight w:val="300"/>
        </w:trPr>
        <w:tc>
          <w:tcPr>
            <w:tcW w:w="298" w:type="pct"/>
            <w:vMerge/>
            <w:tcBorders>
              <w:top w:val="nil"/>
              <w:left w:val="single" w:sz="4" w:space="0" w:color="auto"/>
              <w:bottom w:val="single" w:sz="4" w:space="0" w:color="auto"/>
              <w:right w:val="single" w:sz="4" w:space="0" w:color="auto"/>
            </w:tcBorders>
            <w:vAlign w:val="center"/>
            <w:hideMark/>
          </w:tcPr>
          <w:p w14:paraId="18E250DA"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3D4473A7" w14:textId="77777777" w:rsidR="00F91466" w:rsidRPr="00E00086" w:rsidRDefault="00F91466" w:rsidP="0047334A">
            <w:pPr>
              <w:rPr>
                <w:rFonts w:ascii="Times New Roman" w:hAnsi="Times New Roman"/>
                <w:color w:val="000000"/>
                <w:sz w:val="20"/>
                <w:lang w:val="sr-Cyrl-RS"/>
              </w:rPr>
            </w:pPr>
          </w:p>
        </w:tc>
        <w:tc>
          <w:tcPr>
            <w:tcW w:w="1851" w:type="pct"/>
            <w:vMerge/>
            <w:tcBorders>
              <w:top w:val="nil"/>
              <w:left w:val="single" w:sz="4" w:space="0" w:color="auto"/>
              <w:bottom w:val="single" w:sz="4" w:space="0" w:color="auto"/>
              <w:right w:val="single" w:sz="4" w:space="0" w:color="auto"/>
            </w:tcBorders>
            <w:vAlign w:val="center"/>
            <w:hideMark/>
          </w:tcPr>
          <w:p w14:paraId="0615B58F" w14:textId="77777777" w:rsidR="00F91466" w:rsidRPr="00E00086" w:rsidRDefault="00F91466" w:rsidP="0047334A">
            <w:pPr>
              <w:rPr>
                <w:rFonts w:ascii="Times New Roman" w:hAnsi="Times New Roman"/>
                <w:color w:val="000000"/>
                <w:sz w:val="20"/>
                <w:lang w:val="sr-Cyrl-RS"/>
              </w:rPr>
            </w:pPr>
          </w:p>
        </w:tc>
        <w:tc>
          <w:tcPr>
            <w:tcW w:w="801" w:type="pct"/>
            <w:vMerge/>
            <w:tcBorders>
              <w:top w:val="nil"/>
              <w:left w:val="single" w:sz="4" w:space="0" w:color="auto"/>
              <w:bottom w:val="single" w:sz="4" w:space="0" w:color="auto"/>
              <w:right w:val="single" w:sz="4" w:space="0" w:color="auto"/>
            </w:tcBorders>
            <w:vAlign w:val="center"/>
            <w:hideMark/>
          </w:tcPr>
          <w:p w14:paraId="09E2EFB1" w14:textId="77777777" w:rsidR="00F91466" w:rsidRPr="00E00086" w:rsidRDefault="00F91466" w:rsidP="0047334A">
            <w:pPr>
              <w:rPr>
                <w:rFonts w:ascii="Times New Roman" w:hAnsi="Times New Roman"/>
                <w:color w:val="000000"/>
                <w:sz w:val="22"/>
                <w:szCs w:val="22"/>
                <w:lang w:val="sr-Cyrl-RS"/>
              </w:rPr>
            </w:pPr>
          </w:p>
        </w:tc>
        <w:tc>
          <w:tcPr>
            <w:tcW w:w="105" w:type="pct"/>
            <w:tcBorders>
              <w:top w:val="nil"/>
              <w:left w:val="nil"/>
              <w:bottom w:val="nil"/>
              <w:right w:val="nil"/>
            </w:tcBorders>
            <w:shd w:val="clear" w:color="auto" w:fill="auto"/>
            <w:noWrap/>
            <w:vAlign w:val="bottom"/>
            <w:hideMark/>
          </w:tcPr>
          <w:p w14:paraId="62120A61" w14:textId="77777777" w:rsidR="00F91466" w:rsidRPr="00E00086" w:rsidRDefault="00F91466" w:rsidP="0047334A">
            <w:pPr>
              <w:jc w:val="right"/>
              <w:rPr>
                <w:rFonts w:ascii="Times New Roman" w:hAnsi="Times New Roman"/>
                <w:color w:val="000000"/>
                <w:sz w:val="22"/>
                <w:szCs w:val="22"/>
                <w:lang w:val="sr-Cyrl-RS"/>
              </w:rPr>
            </w:pPr>
          </w:p>
        </w:tc>
      </w:tr>
      <w:tr w:rsidR="00F91466" w:rsidRPr="00E00086" w14:paraId="57E70531" w14:textId="77777777" w:rsidTr="00C76D4C">
        <w:trPr>
          <w:trHeight w:val="600"/>
        </w:trPr>
        <w:tc>
          <w:tcPr>
            <w:tcW w:w="298" w:type="pct"/>
            <w:tcBorders>
              <w:top w:val="nil"/>
              <w:left w:val="single" w:sz="4" w:space="0" w:color="auto"/>
              <w:bottom w:val="single" w:sz="4" w:space="0" w:color="auto"/>
              <w:right w:val="single" w:sz="4" w:space="0" w:color="auto"/>
            </w:tcBorders>
            <w:shd w:val="clear" w:color="000000" w:fill="FFFFFF"/>
            <w:vAlign w:val="center"/>
            <w:hideMark/>
          </w:tcPr>
          <w:p w14:paraId="4C1B439E"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3</w:t>
            </w:r>
          </w:p>
        </w:tc>
        <w:tc>
          <w:tcPr>
            <w:tcW w:w="1946" w:type="pct"/>
            <w:tcBorders>
              <w:top w:val="nil"/>
              <w:left w:val="nil"/>
              <w:bottom w:val="single" w:sz="4" w:space="0" w:color="auto"/>
              <w:right w:val="single" w:sz="4" w:space="0" w:color="auto"/>
            </w:tcBorders>
            <w:shd w:val="clear" w:color="000000" w:fill="FFFFFF"/>
            <w:vAlign w:val="center"/>
            <w:hideMark/>
          </w:tcPr>
          <w:p w14:paraId="4CFDECFF"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пољопривреде, шумарства и водопривреде</w:t>
            </w:r>
          </w:p>
        </w:tc>
        <w:tc>
          <w:tcPr>
            <w:tcW w:w="1851" w:type="pct"/>
            <w:tcBorders>
              <w:top w:val="nil"/>
              <w:left w:val="nil"/>
              <w:bottom w:val="single" w:sz="4" w:space="0" w:color="auto"/>
              <w:right w:val="single" w:sz="4" w:space="0" w:color="auto"/>
            </w:tcBorders>
            <w:shd w:val="clear" w:color="000000" w:fill="FFFFFF"/>
            <w:vAlign w:val="center"/>
            <w:hideMark/>
          </w:tcPr>
          <w:p w14:paraId="4479E25B"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Закон о утврђивању надлежности АП Војводина.</w:t>
            </w:r>
          </w:p>
        </w:tc>
        <w:tc>
          <w:tcPr>
            <w:tcW w:w="801" w:type="pct"/>
            <w:tcBorders>
              <w:top w:val="nil"/>
              <w:left w:val="nil"/>
              <w:bottom w:val="single" w:sz="4" w:space="0" w:color="auto"/>
              <w:right w:val="single" w:sz="4" w:space="0" w:color="auto"/>
            </w:tcBorders>
            <w:shd w:val="clear" w:color="000000" w:fill="FFFFFF"/>
            <w:noWrap/>
            <w:vAlign w:val="center"/>
            <w:hideMark/>
          </w:tcPr>
          <w:p w14:paraId="12ED903B"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30.000.000</w:t>
            </w:r>
          </w:p>
        </w:tc>
        <w:tc>
          <w:tcPr>
            <w:tcW w:w="105" w:type="pct"/>
            <w:vAlign w:val="center"/>
            <w:hideMark/>
          </w:tcPr>
          <w:p w14:paraId="3EC2F2BD" w14:textId="77777777" w:rsidR="00F91466" w:rsidRPr="00E00086" w:rsidRDefault="00F91466" w:rsidP="0047334A">
            <w:pPr>
              <w:rPr>
                <w:rFonts w:ascii="Times New Roman" w:hAnsi="Times New Roman"/>
                <w:sz w:val="22"/>
                <w:szCs w:val="22"/>
                <w:lang w:val="sr-Cyrl-RS"/>
              </w:rPr>
            </w:pPr>
          </w:p>
        </w:tc>
      </w:tr>
      <w:tr w:rsidR="00F91466" w:rsidRPr="00E00086" w14:paraId="2472D725" w14:textId="77777777" w:rsidTr="00C76D4C">
        <w:trPr>
          <w:trHeight w:val="600"/>
        </w:trPr>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4BEFC0C"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4</w:t>
            </w:r>
          </w:p>
        </w:tc>
        <w:tc>
          <w:tcPr>
            <w:tcW w:w="1946" w:type="pct"/>
            <w:tcBorders>
              <w:top w:val="nil"/>
              <w:left w:val="nil"/>
              <w:bottom w:val="single" w:sz="4" w:space="0" w:color="auto"/>
              <w:right w:val="single" w:sz="4" w:space="0" w:color="auto"/>
            </w:tcBorders>
            <w:shd w:val="clear" w:color="000000" w:fill="FFFFFF"/>
            <w:vAlign w:val="center"/>
            <w:hideMark/>
          </w:tcPr>
          <w:p w14:paraId="3DD82AA2"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просвете</w:t>
            </w:r>
          </w:p>
        </w:tc>
        <w:tc>
          <w:tcPr>
            <w:tcW w:w="1851" w:type="pct"/>
            <w:tcBorders>
              <w:top w:val="nil"/>
              <w:left w:val="nil"/>
              <w:bottom w:val="single" w:sz="4" w:space="0" w:color="auto"/>
              <w:right w:val="single" w:sz="4" w:space="0" w:color="auto"/>
            </w:tcBorders>
            <w:shd w:val="clear" w:color="000000" w:fill="FFFFFF"/>
            <w:vAlign w:val="center"/>
            <w:hideMark/>
          </w:tcPr>
          <w:p w14:paraId="28E84D43"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Закон о основама система образовања и васпитања (припремни предшколски програм).</w:t>
            </w:r>
          </w:p>
        </w:tc>
        <w:tc>
          <w:tcPr>
            <w:tcW w:w="801" w:type="pct"/>
            <w:tcBorders>
              <w:top w:val="nil"/>
              <w:left w:val="nil"/>
              <w:bottom w:val="single" w:sz="4" w:space="0" w:color="auto"/>
              <w:right w:val="single" w:sz="4" w:space="0" w:color="auto"/>
            </w:tcBorders>
            <w:shd w:val="clear" w:color="000000" w:fill="FFFFFF"/>
            <w:noWrap/>
            <w:vAlign w:val="center"/>
            <w:hideMark/>
          </w:tcPr>
          <w:p w14:paraId="72E8D6F5"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840.000.000</w:t>
            </w:r>
          </w:p>
        </w:tc>
        <w:tc>
          <w:tcPr>
            <w:tcW w:w="105" w:type="pct"/>
            <w:vAlign w:val="center"/>
            <w:hideMark/>
          </w:tcPr>
          <w:p w14:paraId="698B6A1D" w14:textId="77777777" w:rsidR="00F91466" w:rsidRPr="00E00086" w:rsidRDefault="00F91466" w:rsidP="0047334A">
            <w:pPr>
              <w:rPr>
                <w:rFonts w:ascii="Times New Roman" w:hAnsi="Times New Roman"/>
                <w:sz w:val="22"/>
                <w:szCs w:val="22"/>
                <w:lang w:val="sr-Cyrl-RS"/>
              </w:rPr>
            </w:pPr>
          </w:p>
        </w:tc>
      </w:tr>
      <w:tr w:rsidR="00F91466" w:rsidRPr="00E00086" w14:paraId="3910ED4A" w14:textId="77777777" w:rsidTr="00C76D4C">
        <w:trPr>
          <w:trHeight w:val="600"/>
        </w:trPr>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4B45C8A"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5</w:t>
            </w:r>
          </w:p>
        </w:tc>
        <w:tc>
          <w:tcPr>
            <w:tcW w:w="1946" w:type="pct"/>
            <w:tcBorders>
              <w:top w:val="nil"/>
              <w:left w:val="nil"/>
              <w:bottom w:val="single" w:sz="4" w:space="0" w:color="auto"/>
              <w:right w:val="single" w:sz="4" w:space="0" w:color="auto"/>
            </w:tcBorders>
            <w:shd w:val="clear" w:color="000000" w:fill="FFFFFF"/>
            <w:vAlign w:val="center"/>
            <w:hideMark/>
          </w:tcPr>
          <w:p w14:paraId="764EF983"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културе</w:t>
            </w:r>
          </w:p>
        </w:tc>
        <w:tc>
          <w:tcPr>
            <w:tcW w:w="1851" w:type="pct"/>
            <w:tcBorders>
              <w:top w:val="nil"/>
              <w:left w:val="nil"/>
              <w:bottom w:val="single" w:sz="4" w:space="0" w:color="auto"/>
              <w:right w:val="single" w:sz="4" w:space="0" w:color="auto"/>
            </w:tcBorders>
            <w:shd w:val="clear" w:color="000000" w:fill="FFFFFF"/>
            <w:vAlign w:val="center"/>
            <w:hideMark/>
          </w:tcPr>
          <w:p w14:paraId="4EC71F8F" w14:textId="480DC8C0"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Закон о обнови културно-историјског наслеђа и подстицању развоја Сремских Карловаца</w:t>
            </w:r>
            <w:r w:rsidR="003F516D"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000000" w:fill="FFFFFF"/>
            <w:noWrap/>
            <w:vAlign w:val="center"/>
            <w:hideMark/>
          </w:tcPr>
          <w:p w14:paraId="48128C49" w14:textId="2B51AEF4" w:rsidR="00F91466" w:rsidRPr="00E00086" w:rsidRDefault="0009645F" w:rsidP="0047334A">
            <w:pPr>
              <w:jc w:val="right"/>
              <w:rPr>
                <w:rFonts w:ascii="Times New Roman" w:hAnsi="Times New Roman"/>
                <w:color w:val="000000"/>
                <w:sz w:val="22"/>
                <w:szCs w:val="22"/>
                <w:lang w:val="sr-Cyrl-RS"/>
              </w:rPr>
            </w:pPr>
            <w:r>
              <w:rPr>
                <w:rFonts w:ascii="Times New Roman" w:hAnsi="Times New Roman"/>
                <w:color w:val="000000"/>
                <w:sz w:val="22"/>
                <w:szCs w:val="22"/>
                <w:lang w:val="sr-Cyrl-RS"/>
              </w:rPr>
              <w:t>56</w:t>
            </w:r>
            <w:r w:rsidR="00F91466" w:rsidRPr="00E00086">
              <w:rPr>
                <w:rFonts w:ascii="Times New Roman" w:hAnsi="Times New Roman"/>
                <w:color w:val="000000"/>
                <w:sz w:val="22"/>
                <w:szCs w:val="22"/>
                <w:lang w:val="sr-Cyrl-RS"/>
              </w:rPr>
              <w:t>.000.000</w:t>
            </w:r>
          </w:p>
        </w:tc>
        <w:tc>
          <w:tcPr>
            <w:tcW w:w="105" w:type="pct"/>
            <w:vAlign w:val="center"/>
            <w:hideMark/>
          </w:tcPr>
          <w:p w14:paraId="0A9CB679" w14:textId="77777777" w:rsidR="00F91466" w:rsidRPr="00E00086" w:rsidRDefault="00F91466" w:rsidP="0047334A">
            <w:pPr>
              <w:rPr>
                <w:rFonts w:ascii="Times New Roman" w:hAnsi="Times New Roman"/>
                <w:sz w:val="22"/>
                <w:szCs w:val="22"/>
                <w:lang w:val="sr-Cyrl-RS"/>
              </w:rPr>
            </w:pPr>
          </w:p>
        </w:tc>
      </w:tr>
      <w:tr w:rsidR="00F91466" w:rsidRPr="00E00086" w14:paraId="044D515F" w14:textId="77777777" w:rsidTr="00C76D4C">
        <w:trPr>
          <w:trHeight w:val="600"/>
        </w:trPr>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96C0599"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6</w:t>
            </w:r>
          </w:p>
        </w:tc>
        <w:tc>
          <w:tcPr>
            <w:tcW w:w="1946" w:type="pct"/>
            <w:tcBorders>
              <w:top w:val="nil"/>
              <w:left w:val="nil"/>
              <w:bottom w:val="single" w:sz="4" w:space="0" w:color="auto"/>
              <w:right w:val="single" w:sz="4" w:space="0" w:color="auto"/>
            </w:tcBorders>
            <w:shd w:val="clear" w:color="000000" w:fill="FFFFFF"/>
            <w:vAlign w:val="center"/>
            <w:hideMark/>
          </w:tcPr>
          <w:p w14:paraId="201FB6FE"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за рад, запошљавање, борачка и социјална питања</w:t>
            </w:r>
          </w:p>
        </w:tc>
        <w:tc>
          <w:tcPr>
            <w:tcW w:w="1851" w:type="pct"/>
            <w:tcBorders>
              <w:top w:val="nil"/>
              <w:left w:val="nil"/>
              <w:bottom w:val="single" w:sz="4" w:space="0" w:color="auto"/>
              <w:right w:val="single" w:sz="4" w:space="0" w:color="auto"/>
            </w:tcBorders>
            <w:shd w:val="clear" w:color="000000" w:fill="FFFFFF"/>
            <w:vAlign w:val="center"/>
            <w:hideMark/>
          </w:tcPr>
          <w:p w14:paraId="7BBC0423"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Закон о социјалној заштити.</w:t>
            </w:r>
          </w:p>
        </w:tc>
        <w:tc>
          <w:tcPr>
            <w:tcW w:w="801" w:type="pct"/>
            <w:tcBorders>
              <w:top w:val="nil"/>
              <w:left w:val="nil"/>
              <w:bottom w:val="single" w:sz="4" w:space="0" w:color="auto"/>
              <w:right w:val="single" w:sz="4" w:space="0" w:color="auto"/>
            </w:tcBorders>
            <w:shd w:val="clear" w:color="000000" w:fill="FFFFFF"/>
            <w:noWrap/>
            <w:vAlign w:val="center"/>
            <w:hideMark/>
          </w:tcPr>
          <w:p w14:paraId="76F7B90F"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132.000.000</w:t>
            </w:r>
          </w:p>
        </w:tc>
        <w:tc>
          <w:tcPr>
            <w:tcW w:w="105" w:type="pct"/>
            <w:vAlign w:val="center"/>
            <w:hideMark/>
          </w:tcPr>
          <w:p w14:paraId="18836884" w14:textId="77777777" w:rsidR="00F91466" w:rsidRPr="00E00086" w:rsidRDefault="00F91466" w:rsidP="0047334A">
            <w:pPr>
              <w:rPr>
                <w:rFonts w:ascii="Times New Roman" w:hAnsi="Times New Roman"/>
                <w:sz w:val="22"/>
                <w:szCs w:val="22"/>
                <w:lang w:val="sr-Cyrl-RS"/>
              </w:rPr>
            </w:pPr>
          </w:p>
        </w:tc>
      </w:tr>
      <w:tr w:rsidR="00F91466" w:rsidRPr="00E00086" w14:paraId="7B619AB7" w14:textId="77777777" w:rsidTr="00C76D4C">
        <w:trPr>
          <w:trHeight w:val="300"/>
        </w:trPr>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5374C95"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7</w:t>
            </w:r>
          </w:p>
        </w:tc>
        <w:tc>
          <w:tcPr>
            <w:tcW w:w="1946" w:type="pct"/>
            <w:tcBorders>
              <w:top w:val="nil"/>
              <w:left w:val="nil"/>
              <w:bottom w:val="single" w:sz="4" w:space="0" w:color="auto"/>
              <w:right w:val="single" w:sz="4" w:space="0" w:color="auto"/>
            </w:tcBorders>
            <w:shd w:val="clear" w:color="000000" w:fill="FFFFFF"/>
            <w:noWrap/>
            <w:vAlign w:val="center"/>
            <w:hideMark/>
          </w:tcPr>
          <w:p w14:paraId="5581A3E7"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унутрашње и спољне трговине</w:t>
            </w:r>
          </w:p>
        </w:tc>
        <w:tc>
          <w:tcPr>
            <w:tcW w:w="1851" w:type="pct"/>
            <w:tcBorders>
              <w:top w:val="nil"/>
              <w:left w:val="nil"/>
              <w:bottom w:val="single" w:sz="4" w:space="0" w:color="auto"/>
              <w:right w:val="single" w:sz="4" w:space="0" w:color="auto"/>
            </w:tcBorders>
            <w:shd w:val="clear" w:color="000000" w:fill="FFFFFF"/>
            <w:vAlign w:val="center"/>
            <w:hideMark/>
          </w:tcPr>
          <w:p w14:paraId="6979C276"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Закон о утврђивању надлежности АПВ.</w:t>
            </w:r>
          </w:p>
        </w:tc>
        <w:tc>
          <w:tcPr>
            <w:tcW w:w="801" w:type="pct"/>
            <w:tcBorders>
              <w:top w:val="nil"/>
              <w:left w:val="nil"/>
              <w:bottom w:val="single" w:sz="4" w:space="0" w:color="auto"/>
              <w:right w:val="single" w:sz="4" w:space="0" w:color="auto"/>
            </w:tcBorders>
            <w:shd w:val="clear" w:color="000000" w:fill="FFFFFF"/>
            <w:noWrap/>
            <w:vAlign w:val="center"/>
            <w:hideMark/>
          </w:tcPr>
          <w:p w14:paraId="7F261822"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2.700.000</w:t>
            </w:r>
          </w:p>
        </w:tc>
        <w:tc>
          <w:tcPr>
            <w:tcW w:w="105" w:type="pct"/>
            <w:vAlign w:val="center"/>
            <w:hideMark/>
          </w:tcPr>
          <w:p w14:paraId="7378C670" w14:textId="77777777" w:rsidR="00F91466" w:rsidRPr="00E00086" w:rsidRDefault="00F91466" w:rsidP="0047334A">
            <w:pPr>
              <w:rPr>
                <w:rFonts w:ascii="Times New Roman" w:hAnsi="Times New Roman"/>
                <w:sz w:val="22"/>
                <w:szCs w:val="22"/>
                <w:lang w:val="sr-Cyrl-RS"/>
              </w:rPr>
            </w:pPr>
          </w:p>
        </w:tc>
      </w:tr>
      <w:tr w:rsidR="00F91466" w:rsidRPr="00E00086" w14:paraId="59F804B6" w14:textId="77777777" w:rsidTr="00C76D4C">
        <w:trPr>
          <w:trHeight w:val="300"/>
        </w:trPr>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A794B33"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8</w:t>
            </w:r>
          </w:p>
        </w:tc>
        <w:tc>
          <w:tcPr>
            <w:tcW w:w="1946" w:type="pct"/>
            <w:tcBorders>
              <w:top w:val="nil"/>
              <w:left w:val="nil"/>
              <w:bottom w:val="single" w:sz="4" w:space="0" w:color="auto"/>
              <w:right w:val="single" w:sz="4" w:space="0" w:color="auto"/>
            </w:tcBorders>
            <w:shd w:val="clear" w:color="000000" w:fill="FFFFFF"/>
            <w:vAlign w:val="center"/>
            <w:hideMark/>
          </w:tcPr>
          <w:p w14:paraId="4A46D2F2"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за бригу о селу</w:t>
            </w:r>
          </w:p>
        </w:tc>
        <w:tc>
          <w:tcPr>
            <w:tcW w:w="1851" w:type="pct"/>
            <w:tcBorders>
              <w:top w:val="nil"/>
              <w:left w:val="nil"/>
              <w:bottom w:val="single" w:sz="4" w:space="0" w:color="auto"/>
              <w:right w:val="single" w:sz="4" w:space="0" w:color="auto"/>
            </w:tcBorders>
            <w:shd w:val="clear" w:color="000000" w:fill="FFFFFF"/>
            <w:vAlign w:val="center"/>
            <w:hideMark/>
          </w:tcPr>
          <w:p w14:paraId="1A176B94" w14:textId="53DB421E"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Закон о министарствима</w:t>
            </w:r>
            <w:r w:rsidR="003F516D"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000000" w:fill="FFFFFF"/>
            <w:noWrap/>
            <w:vAlign w:val="center"/>
            <w:hideMark/>
          </w:tcPr>
          <w:p w14:paraId="0F86C231"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423.700.000</w:t>
            </w:r>
          </w:p>
        </w:tc>
        <w:tc>
          <w:tcPr>
            <w:tcW w:w="105" w:type="pct"/>
            <w:vAlign w:val="center"/>
            <w:hideMark/>
          </w:tcPr>
          <w:p w14:paraId="3FD498D5" w14:textId="77777777" w:rsidR="00F91466" w:rsidRPr="00E00086" w:rsidRDefault="00F91466" w:rsidP="0047334A">
            <w:pPr>
              <w:rPr>
                <w:rFonts w:ascii="Times New Roman" w:hAnsi="Times New Roman"/>
                <w:sz w:val="22"/>
                <w:szCs w:val="22"/>
                <w:lang w:val="sr-Cyrl-RS"/>
              </w:rPr>
            </w:pPr>
          </w:p>
        </w:tc>
      </w:tr>
      <w:tr w:rsidR="00F91466" w:rsidRPr="00E00086" w14:paraId="34FE321B" w14:textId="77777777" w:rsidTr="00C76D4C">
        <w:trPr>
          <w:trHeight w:val="900"/>
        </w:trPr>
        <w:tc>
          <w:tcPr>
            <w:tcW w:w="2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1AD99216"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9</w:t>
            </w:r>
          </w:p>
        </w:tc>
        <w:tc>
          <w:tcPr>
            <w:tcW w:w="194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7C612E9"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информисања и телекомуникација</w:t>
            </w:r>
          </w:p>
        </w:tc>
        <w:tc>
          <w:tcPr>
            <w:tcW w:w="1851" w:type="pct"/>
            <w:tcBorders>
              <w:top w:val="nil"/>
              <w:left w:val="nil"/>
              <w:bottom w:val="single" w:sz="4" w:space="0" w:color="auto"/>
              <w:right w:val="single" w:sz="4" w:space="0" w:color="auto"/>
            </w:tcBorders>
            <w:shd w:val="clear" w:color="000000" w:fill="FFFFFF"/>
            <w:vAlign w:val="center"/>
            <w:hideMark/>
          </w:tcPr>
          <w:p w14:paraId="74D041F8"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 xml:space="preserve">Закон о министарствима, Закон о јавном информисању и медијима, Закон о јавним медијским сервисима. </w:t>
            </w:r>
          </w:p>
        </w:tc>
        <w:tc>
          <w:tcPr>
            <w:tcW w:w="801" w:type="pct"/>
            <w:tcBorders>
              <w:top w:val="nil"/>
              <w:left w:val="nil"/>
              <w:bottom w:val="single" w:sz="4" w:space="0" w:color="auto"/>
              <w:right w:val="single" w:sz="4" w:space="0" w:color="auto"/>
            </w:tcBorders>
            <w:shd w:val="clear" w:color="000000" w:fill="FFFFFF"/>
            <w:noWrap/>
            <w:vAlign w:val="center"/>
            <w:hideMark/>
          </w:tcPr>
          <w:p w14:paraId="747FB250"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980.000.000</w:t>
            </w:r>
          </w:p>
        </w:tc>
        <w:tc>
          <w:tcPr>
            <w:tcW w:w="105" w:type="pct"/>
            <w:vAlign w:val="center"/>
            <w:hideMark/>
          </w:tcPr>
          <w:p w14:paraId="61E8A491" w14:textId="77777777" w:rsidR="00F91466" w:rsidRPr="00E00086" w:rsidRDefault="00F91466" w:rsidP="0047334A">
            <w:pPr>
              <w:rPr>
                <w:rFonts w:ascii="Times New Roman" w:hAnsi="Times New Roman"/>
                <w:sz w:val="22"/>
                <w:szCs w:val="22"/>
                <w:lang w:val="sr-Cyrl-RS"/>
              </w:rPr>
            </w:pPr>
          </w:p>
        </w:tc>
      </w:tr>
      <w:tr w:rsidR="00F91466" w:rsidRPr="00E00086" w14:paraId="208450E9" w14:textId="77777777" w:rsidTr="00C76D4C">
        <w:trPr>
          <w:trHeight w:val="300"/>
        </w:trPr>
        <w:tc>
          <w:tcPr>
            <w:tcW w:w="298" w:type="pct"/>
            <w:vMerge/>
            <w:tcBorders>
              <w:top w:val="nil"/>
              <w:left w:val="single" w:sz="4" w:space="0" w:color="auto"/>
              <w:bottom w:val="single" w:sz="4" w:space="0" w:color="auto"/>
              <w:right w:val="single" w:sz="4" w:space="0" w:color="auto"/>
            </w:tcBorders>
            <w:vAlign w:val="center"/>
            <w:hideMark/>
          </w:tcPr>
          <w:p w14:paraId="16D51113"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06FCC286"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000000" w:fill="FFFFFF"/>
            <w:vAlign w:val="center"/>
            <w:hideMark/>
          </w:tcPr>
          <w:p w14:paraId="29BF4022"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Закон о електронским комуникацијама.</w:t>
            </w:r>
          </w:p>
        </w:tc>
        <w:tc>
          <w:tcPr>
            <w:tcW w:w="801" w:type="pct"/>
            <w:tcBorders>
              <w:top w:val="nil"/>
              <w:left w:val="nil"/>
              <w:bottom w:val="single" w:sz="4" w:space="0" w:color="auto"/>
              <w:right w:val="single" w:sz="4" w:space="0" w:color="auto"/>
            </w:tcBorders>
            <w:shd w:val="clear" w:color="000000" w:fill="FFFFFF"/>
            <w:noWrap/>
            <w:vAlign w:val="center"/>
            <w:hideMark/>
          </w:tcPr>
          <w:p w14:paraId="290C2DB2"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1.500.000</w:t>
            </w:r>
          </w:p>
        </w:tc>
        <w:tc>
          <w:tcPr>
            <w:tcW w:w="105" w:type="pct"/>
            <w:vAlign w:val="center"/>
            <w:hideMark/>
          </w:tcPr>
          <w:p w14:paraId="5341DB3B" w14:textId="77777777" w:rsidR="00F91466" w:rsidRPr="00E00086" w:rsidRDefault="00F91466" w:rsidP="0047334A">
            <w:pPr>
              <w:rPr>
                <w:rFonts w:ascii="Times New Roman" w:hAnsi="Times New Roman"/>
                <w:sz w:val="22"/>
                <w:szCs w:val="22"/>
                <w:lang w:val="sr-Cyrl-RS"/>
              </w:rPr>
            </w:pPr>
          </w:p>
        </w:tc>
      </w:tr>
      <w:tr w:rsidR="00F91466" w:rsidRPr="00E00086" w14:paraId="11DFA528" w14:textId="77777777" w:rsidTr="00C76D4C">
        <w:trPr>
          <w:trHeight w:val="900"/>
        </w:trPr>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F20B265"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lastRenderedPageBreak/>
              <w:t>10</w:t>
            </w:r>
          </w:p>
        </w:tc>
        <w:tc>
          <w:tcPr>
            <w:tcW w:w="1946" w:type="pct"/>
            <w:tcBorders>
              <w:top w:val="nil"/>
              <w:left w:val="nil"/>
              <w:bottom w:val="single" w:sz="4" w:space="0" w:color="auto"/>
              <w:right w:val="single" w:sz="4" w:space="0" w:color="auto"/>
            </w:tcBorders>
            <w:shd w:val="clear" w:color="000000" w:fill="FFFFFF"/>
            <w:noWrap/>
            <w:vAlign w:val="center"/>
            <w:hideMark/>
          </w:tcPr>
          <w:p w14:paraId="7468858F"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Комесаријат за избеглице и миграције</w:t>
            </w:r>
          </w:p>
        </w:tc>
        <w:tc>
          <w:tcPr>
            <w:tcW w:w="1851" w:type="pct"/>
            <w:tcBorders>
              <w:top w:val="nil"/>
              <w:left w:val="nil"/>
              <w:bottom w:val="single" w:sz="4" w:space="0" w:color="auto"/>
              <w:right w:val="single" w:sz="4" w:space="0" w:color="auto"/>
            </w:tcBorders>
            <w:shd w:val="clear" w:color="000000" w:fill="FFFFFF"/>
            <w:vAlign w:val="center"/>
            <w:hideMark/>
          </w:tcPr>
          <w:p w14:paraId="68D8B9FB"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Закон о избеглицама, Закон о управљању миграцијама, Национална стратегија за решавање питања избеглица и ИРЛ.</w:t>
            </w:r>
          </w:p>
        </w:tc>
        <w:tc>
          <w:tcPr>
            <w:tcW w:w="801" w:type="pct"/>
            <w:tcBorders>
              <w:top w:val="nil"/>
              <w:left w:val="nil"/>
              <w:bottom w:val="single" w:sz="4" w:space="0" w:color="auto"/>
              <w:right w:val="single" w:sz="4" w:space="0" w:color="auto"/>
            </w:tcBorders>
            <w:shd w:val="clear" w:color="000000" w:fill="FFFFFF"/>
            <w:noWrap/>
            <w:vAlign w:val="center"/>
            <w:hideMark/>
          </w:tcPr>
          <w:p w14:paraId="5D63B5E9"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170.000.000</w:t>
            </w:r>
          </w:p>
        </w:tc>
        <w:tc>
          <w:tcPr>
            <w:tcW w:w="105" w:type="pct"/>
            <w:vAlign w:val="center"/>
            <w:hideMark/>
          </w:tcPr>
          <w:p w14:paraId="5546A2C8" w14:textId="77777777" w:rsidR="00F91466" w:rsidRPr="00E00086" w:rsidRDefault="00F91466" w:rsidP="0047334A">
            <w:pPr>
              <w:rPr>
                <w:rFonts w:ascii="Times New Roman" w:hAnsi="Times New Roman"/>
                <w:sz w:val="22"/>
                <w:szCs w:val="22"/>
                <w:lang w:val="sr-Cyrl-RS"/>
              </w:rPr>
            </w:pPr>
          </w:p>
        </w:tc>
      </w:tr>
      <w:tr w:rsidR="00F91466" w:rsidRPr="00E00086" w14:paraId="3768554B" w14:textId="77777777" w:rsidTr="00C76D4C">
        <w:trPr>
          <w:trHeight w:val="3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4BCFA27B" w14:textId="77777777" w:rsidR="00F91466" w:rsidRPr="00E00086" w:rsidRDefault="00F91466" w:rsidP="0047334A">
            <w:pPr>
              <w:jc w:val="center"/>
              <w:rPr>
                <w:rFonts w:ascii="Times New Roman" w:hAnsi="Times New Roman"/>
                <w:b/>
                <w:bCs/>
                <w:color w:val="000000"/>
                <w:sz w:val="20"/>
                <w:lang w:val="sr-Cyrl-RS"/>
              </w:rPr>
            </w:pPr>
            <w:r w:rsidRPr="00E00086">
              <w:rPr>
                <w:rFonts w:ascii="Times New Roman" w:hAnsi="Times New Roman"/>
                <w:b/>
                <w:bCs/>
                <w:color w:val="000000"/>
                <w:sz w:val="20"/>
                <w:lang w:val="sr-Cyrl-RS"/>
              </w:rPr>
              <w:t>I</w:t>
            </w:r>
          </w:p>
        </w:tc>
        <w:tc>
          <w:tcPr>
            <w:tcW w:w="1946" w:type="pct"/>
            <w:tcBorders>
              <w:top w:val="nil"/>
              <w:left w:val="nil"/>
              <w:bottom w:val="single" w:sz="4" w:space="0" w:color="auto"/>
              <w:right w:val="single" w:sz="4" w:space="0" w:color="auto"/>
            </w:tcBorders>
            <w:shd w:val="clear" w:color="auto" w:fill="auto"/>
            <w:noWrap/>
            <w:vAlign w:val="center"/>
            <w:hideMark/>
          </w:tcPr>
          <w:p w14:paraId="7799364D" w14:textId="77777777" w:rsidR="00F91466" w:rsidRPr="00E00086" w:rsidRDefault="00F91466" w:rsidP="0047334A">
            <w:pPr>
              <w:jc w:val="center"/>
              <w:rPr>
                <w:rFonts w:ascii="Times New Roman" w:hAnsi="Times New Roman"/>
                <w:b/>
                <w:bCs/>
                <w:color w:val="000000"/>
                <w:sz w:val="20"/>
                <w:lang w:val="sr-Cyrl-RS"/>
              </w:rPr>
            </w:pPr>
            <w:r w:rsidRPr="00E00086">
              <w:rPr>
                <w:rFonts w:ascii="Times New Roman" w:hAnsi="Times New Roman"/>
                <w:b/>
                <w:bCs/>
                <w:color w:val="000000"/>
                <w:sz w:val="20"/>
                <w:lang w:val="sr-Cyrl-RS"/>
              </w:rPr>
              <w:t>СВЕГА (од 1 до 10)</w:t>
            </w:r>
          </w:p>
        </w:tc>
        <w:tc>
          <w:tcPr>
            <w:tcW w:w="1851" w:type="pct"/>
            <w:tcBorders>
              <w:top w:val="nil"/>
              <w:left w:val="nil"/>
              <w:bottom w:val="single" w:sz="4" w:space="0" w:color="auto"/>
              <w:right w:val="single" w:sz="4" w:space="0" w:color="auto"/>
            </w:tcBorders>
            <w:shd w:val="clear" w:color="auto" w:fill="auto"/>
            <w:vAlign w:val="center"/>
            <w:hideMark/>
          </w:tcPr>
          <w:p w14:paraId="4BC51E36"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 </w:t>
            </w:r>
          </w:p>
        </w:tc>
        <w:tc>
          <w:tcPr>
            <w:tcW w:w="801" w:type="pct"/>
            <w:tcBorders>
              <w:top w:val="nil"/>
              <w:left w:val="nil"/>
              <w:bottom w:val="single" w:sz="4" w:space="0" w:color="auto"/>
              <w:right w:val="single" w:sz="4" w:space="0" w:color="auto"/>
            </w:tcBorders>
            <w:shd w:val="clear" w:color="auto" w:fill="auto"/>
            <w:noWrap/>
            <w:vAlign w:val="center"/>
            <w:hideMark/>
          </w:tcPr>
          <w:p w14:paraId="6424C95E" w14:textId="7D446971" w:rsidR="00F91466" w:rsidRPr="00E00086" w:rsidRDefault="00F91466" w:rsidP="0047334A">
            <w:pPr>
              <w:jc w:val="right"/>
              <w:rPr>
                <w:rFonts w:ascii="Times New Roman" w:hAnsi="Times New Roman"/>
                <w:b/>
                <w:bCs/>
                <w:color w:val="000000"/>
                <w:sz w:val="22"/>
                <w:szCs w:val="22"/>
                <w:lang w:val="sr-Cyrl-RS"/>
              </w:rPr>
            </w:pPr>
            <w:r w:rsidRPr="00E00086">
              <w:rPr>
                <w:rFonts w:ascii="Times New Roman" w:hAnsi="Times New Roman"/>
                <w:b/>
                <w:bCs/>
                <w:color w:val="000000"/>
                <w:sz w:val="22"/>
                <w:szCs w:val="22"/>
                <w:lang w:val="sr-Cyrl-RS"/>
              </w:rPr>
              <w:t>10.35</w:t>
            </w:r>
            <w:r w:rsidR="00F77FA5">
              <w:rPr>
                <w:rFonts w:ascii="Times New Roman" w:hAnsi="Times New Roman"/>
                <w:b/>
                <w:bCs/>
                <w:color w:val="000000"/>
                <w:sz w:val="22"/>
                <w:szCs w:val="22"/>
                <w:lang w:val="sr-Cyrl-RS"/>
              </w:rPr>
              <w:t>6</w:t>
            </w:r>
            <w:r w:rsidRPr="00E00086">
              <w:rPr>
                <w:rFonts w:ascii="Times New Roman" w:hAnsi="Times New Roman"/>
                <w:b/>
                <w:bCs/>
                <w:color w:val="000000"/>
                <w:sz w:val="22"/>
                <w:szCs w:val="22"/>
                <w:lang w:val="sr-Cyrl-RS"/>
              </w:rPr>
              <w:t>.453.738</w:t>
            </w:r>
          </w:p>
        </w:tc>
        <w:tc>
          <w:tcPr>
            <w:tcW w:w="105" w:type="pct"/>
            <w:vAlign w:val="center"/>
            <w:hideMark/>
          </w:tcPr>
          <w:p w14:paraId="724E0D7C" w14:textId="77777777" w:rsidR="00F91466" w:rsidRPr="00E00086" w:rsidRDefault="00F91466" w:rsidP="0047334A">
            <w:pPr>
              <w:rPr>
                <w:rFonts w:ascii="Times New Roman" w:hAnsi="Times New Roman"/>
                <w:sz w:val="22"/>
                <w:szCs w:val="22"/>
                <w:lang w:val="sr-Cyrl-RS"/>
              </w:rPr>
            </w:pPr>
          </w:p>
        </w:tc>
      </w:tr>
      <w:tr w:rsidR="00F91466" w:rsidRPr="00E00086" w14:paraId="0B649FCE" w14:textId="77777777" w:rsidTr="00C76D4C">
        <w:trPr>
          <w:trHeight w:val="300"/>
        </w:trPr>
        <w:tc>
          <w:tcPr>
            <w:tcW w:w="489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9CF2D7" w14:textId="77777777" w:rsidR="00F91466" w:rsidRPr="00E00086" w:rsidRDefault="00F91466" w:rsidP="0047334A">
            <w:pPr>
              <w:jc w:val="center"/>
              <w:rPr>
                <w:rFonts w:ascii="Times New Roman" w:hAnsi="Times New Roman"/>
                <w:b/>
                <w:bCs/>
                <w:color w:val="000000"/>
                <w:sz w:val="20"/>
                <w:lang w:val="sr-Cyrl-RS"/>
              </w:rPr>
            </w:pPr>
            <w:r w:rsidRPr="00E00086">
              <w:rPr>
                <w:rFonts w:ascii="Times New Roman" w:hAnsi="Times New Roman"/>
                <w:b/>
                <w:bCs/>
                <w:color w:val="000000"/>
                <w:sz w:val="20"/>
                <w:lang w:val="sr-Cyrl-RS"/>
              </w:rPr>
              <w:t>СРЕДСТВА БУЏЕТА РС КОЈА СЕ УСМЕРАВАЈУ НА ТЕРИТОРИЈУ АПВ</w:t>
            </w:r>
          </w:p>
        </w:tc>
        <w:tc>
          <w:tcPr>
            <w:tcW w:w="105" w:type="pct"/>
            <w:vAlign w:val="center"/>
            <w:hideMark/>
          </w:tcPr>
          <w:p w14:paraId="781CFEB7" w14:textId="77777777" w:rsidR="00F91466" w:rsidRPr="00E00086" w:rsidRDefault="00F91466" w:rsidP="0047334A">
            <w:pPr>
              <w:rPr>
                <w:rFonts w:ascii="Times New Roman" w:hAnsi="Times New Roman"/>
                <w:sz w:val="22"/>
                <w:szCs w:val="22"/>
                <w:lang w:val="sr-Cyrl-RS"/>
              </w:rPr>
            </w:pPr>
          </w:p>
        </w:tc>
      </w:tr>
      <w:tr w:rsidR="00F91466" w:rsidRPr="00E00086" w14:paraId="02BAC753" w14:textId="77777777" w:rsidTr="00C76D4C">
        <w:trPr>
          <w:trHeight w:val="300"/>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2E5355EA" w14:textId="77777777" w:rsidR="00F91466" w:rsidRPr="00E00086" w:rsidRDefault="00F91466" w:rsidP="0047334A">
            <w:pPr>
              <w:jc w:val="center"/>
              <w:rPr>
                <w:rFonts w:ascii="Times New Roman" w:hAnsi="Times New Roman"/>
                <w:b/>
                <w:bCs/>
                <w:color w:val="000000"/>
                <w:sz w:val="20"/>
                <w:lang w:val="sr-Cyrl-RS"/>
              </w:rPr>
            </w:pPr>
            <w:r w:rsidRPr="00E00086">
              <w:rPr>
                <w:rFonts w:ascii="Times New Roman" w:hAnsi="Times New Roman"/>
                <w:color w:val="000000"/>
                <w:sz w:val="20"/>
                <w:lang w:val="sr-Cyrl-RS"/>
              </w:rPr>
              <w:t> 11</w:t>
            </w:r>
          </w:p>
        </w:tc>
        <w:tc>
          <w:tcPr>
            <w:tcW w:w="1946" w:type="pct"/>
            <w:tcBorders>
              <w:top w:val="nil"/>
              <w:left w:val="nil"/>
              <w:bottom w:val="single" w:sz="4" w:space="0" w:color="auto"/>
              <w:right w:val="single" w:sz="4" w:space="0" w:color="auto"/>
            </w:tcBorders>
            <w:shd w:val="clear" w:color="auto" w:fill="auto"/>
            <w:vAlign w:val="center"/>
            <w:hideMark/>
          </w:tcPr>
          <w:p w14:paraId="4E13AEB3"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унутрашњих послова</w:t>
            </w:r>
          </w:p>
        </w:tc>
        <w:tc>
          <w:tcPr>
            <w:tcW w:w="1851" w:type="pct"/>
            <w:tcBorders>
              <w:top w:val="nil"/>
              <w:left w:val="nil"/>
              <w:bottom w:val="single" w:sz="4" w:space="0" w:color="auto"/>
              <w:right w:val="single" w:sz="4" w:space="0" w:color="auto"/>
            </w:tcBorders>
            <w:shd w:val="clear" w:color="auto" w:fill="auto"/>
            <w:vAlign w:val="center"/>
            <w:hideMark/>
          </w:tcPr>
          <w:p w14:paraId="6421E7CF" w14:textId="0C49E15B"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Средства за безбедност саобраћаја</w:t>
            </w:r>
            <w:r w:rsidR="00FF77A0"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bottom"/>
            <w:hideMark/>
          </w:tcPr>
          <w:p w14:paraId="03C6E7CA"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411.500.000</w:t>
            </w:r>
          </w:p>
        </w:tc>
        <w:tc>
          <w:tcPr>
            <w:tcW w:w="105" w:type="pct"/>
            <w:vAlign w:val="center"/>
            <w:hideMark/>
          </w:tcPr>
          <w:p w14:paraId="00B6DFF7" w14:textId="77777777" w:rsidR="00F91466" w:rsidRPr="00E00086" w:rsidRDefault="00F91466" w:rsidP="0047334A">
            <w:pPr>
              <w:rPr>
                <w:rFonts w:ascii="Times New Roman" w:hAnsi="Times New Roman"/>
                <w:sz w:val="22"/>
                <w:szCs w:val="22"/>
                <w:lang w:val="sr-Cyrl-RS"/>
              </w:rPr>
            </w:pPr>
          </w:p>
        </w:tc>
      </w:tr>
      <w:tr w:rsidR="00F91466" w:rsidRPr="00E00086" w14:paraId="0AA89F65" w14:textId="77777777" w:rsidTr="00C76D4C">
        <w:trPr>
          <w:trHeight w:val="9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527D5E4B"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12</w:t>
            </w:r>
          </w:p>
        </w:tc>
        <w:tc>
          <w:tcPr>
            <w:tcW w:w="1946" w:type="pct"/>
            <w:tcBorders>
              <w:top w:val="nil"/>
              <w:left w:val="nil"/>
              <w:bottom w:val="single" w:sz="4" w:space="0" w:color="auto"/>
              <w:right w:val="single" w:sz="4" w:space="0" w:color="auto"/>
            </w:tcBorders>
            <w:shd w:val="clear" w:color="auto" w:fill="auto"/>
            <w:vAlign w:val="center"/>
            <w:hideMark/>
          </w:tcPr>
          <w:p w14:paraId="2E974FDB"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привреде</w:t>
            </w:r>
          </w:p>
        </w:tc>
        <w:tc>
          <w:tcPr>
            <w:tcW w:w="1851" w:type="pct"/>
            <w:tcBorders>
              <w:top w:val="nil"/>
              <w:left w:val="nil"/>
              <w:bottom w:val="single" w:sz="4" w:space="0" w:color="auto"/>
              <w:right w:val="single" w:sz="4" w:space="0" w:color="auto"/>
            </w:tcBorders>
            <w:shd w:val="clear" w:color="auto" w:fill="auto"/>
            <w:vAlign w:val="center"/>
            <w:hideMark/>
          </w:tcPr>
          <w:p w14:paraId="7DDF3F4D" w14:textId="0638C19C"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Субвенције приватним предузећима за спровођење уговора о додели средстава подстицаја</w:t>
            </w:r>
            <w:r w:rsidR="001452A9"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000000" w:fill="FFFFFF"/>
            <w:vAlign w:val="center"/>
            <w:hideMark/>
          </w:tcPr>
          <w:p w14:paraId="788C5665"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3.935.454.706</w:t>
            </w:r>
          </w:p>
        </w:tc>
        <w:tc>
          <w:tcPr>
            <w:tcW w:w="105" w:type="pct"/>
            <w:vAlign w:val="center"/>
            <w:hideMark/>
          </w:tcPr>
          <w:p w14:paraId="3ADB5069" w14:textId="77777777" w:rsidR="00F91466" w:rsidRPr="00E00086" w:rsidRDefault="00F91466" w:rsidP="0047334A">
            <w:pPr>
              <w:rPr>
                <w:rFonts w:ascii="Times New Roman" w:hAnsi="Times New Roman"/>
                <w:sz w:val="22"/>
                <w:szCs w:val="22"/>
                <w:lang w:val="sr-Cyrl-RS"/>
              </w:rPr>
            </w:pPr>
          </w:p>
        </w:tc>
      </w:tr>
      <w:tr w:rsidR="00F91466" w:rsidRPr="00E00086" w14:paraId="3862ECB2" w14:textId="77777777" w:rsidTr="00C76D4C">
        <w:trPr>
          <w:trHeight w:val="315"/>
        </w:trPr>
        <w:tc>
          <w:tcPr>
            <w:tcW w:w="29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F7919A"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13</w:t>
            </w:r>
          </w:p>
        </w:tc>
        <w:tc>
          <w:tcPr>
            <w:tcW w:w="1946" w:type="pct"/>
            <w:vMerge w:val="restart"/>
            <w:tcBorders>
              <w:top w:val="nil"/>
              <w:left w:val="single" w:sz="4" w:space="0" w:color="auto"/>
              <w:bottom w:val="single" w:sz="4" w:space="0" w:color="auto"/>
              <w:right w:val="single" w:sz="4" w:space="0" w:color="auto"/>
            </w:tcBorders>
            <w:shd w:val="clear" w:color="auto" w:fill="auto"/>
            <w:vAlign w:val="center"/>
            <w:hideMark/>
          </w:tcPr>
          <w:p w14:paraId="1199855C"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грађевинарства, саобраћаја и инфраструктуре</w:t>
            </w:r>
          </w:p>
        </w:tc>
        <w:tc>
          <w:tcPr>
            <w:tcW w:w="1851" w:type="pct"/>
            <w:tcBorders>
              <w:top w:val="nil"/>
              <w:left w:val="nil"/>
              <w:bottom w:val="single" w:sz="4" w:space="0" w:color="auto"/>
              <w:right w:val="single" w:sz="4" w:space="0" w:color="auto"/>
            </w:tcBorders>
            <w:shd w:val="clear" w:color="auto" w:fill="auto"/>
            <w:noWrap/>
            <w:hideMark/>
          </w:tcPr>
          <w:p w14:paraId="499DC7AE" w14:textId="0D0EA767" w:rsidR="00F91466" w:rsidRPr="00E00086" w:rsidRDefault="00F91466" w:rsidP="0047334A">
            <w:pPr>
              <w:rPr>
                <w:rFonts w:ascii="Times New Roman" w:hAnsi="Times New Roman"/>
                <w:sz w:val="20"/>
                <w:lang w:val="sr-Cyrl-RS"/>
              </w:rPr>
            </w:pPr>
            <w:r w:rsidRPr="00E00086">
              <w:rPr>
                <w:rFonts w:ascii="Times New Roman" w:hAnsi="Times New Roman"/>
                <w:sz w:val="20"/>
                <w:lang w:val="sr-Cyrl-RS"/>
              </w:rPr>
              <w:t>Брза саобраћајница Iб реда Нови Сад-Рума</w:t>
            </w:r>
            <w:r w:rsidR="001452A9" w:rsidRPr="00E00086">
              <w:rPr>
                <w:rFonts w:ascii="Times New Roman" w:hAnsi="Times New Roman"/>
                <w:sz w:val="20"/>
                <w:lang w:val="sr-Cyrl-RS"/>
              </w:rPr>
              <w:t>.</w:t>
            </w:r>
          </w:p>
        </w:tc>
        <w:tc>
          <w:tcPr>
            <w:tcW w:w="801" w:type="pct"/>
            <w:tcBorders>
              <w:top w:val="nil"/>
              <w:left w:val="nil"/>
              <w:bottom w:val="single" w:sz="4" w:space="0" w:color="auto"/>
              <w:right w:val="single" w:sz="4" w:space="0" w:color="auto"/>
            </w:tcBorders>
            <w:shd w:val="clear" w:color="auto" w:fill="auto"/>
            <w:noWrap/>
            <w:vAlign w:val="bottom"/>
            <w:hideMark/>
          </w:tcPr>
          <w:p w14:paraId="450243F7"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15.800.000.000</w:t>
            </w:r>
          </w:p>
        </w:tc>
        <w:tc>
          <w:tcPr>
            <w:tcW w:w="105" w:type="pct"/>
            <w:vAlign w:val="center"/>
            <w:hideMark/>
          </w:tcPr>
          <w:p w14:paraId="02F627D6" w14:textId="77777777" w:rsidR="00F91466" w:rsidRPr="00E00086" w:rsidRDefault="00F91466" w:rsidP="0047334A">
            <w:pPr>
              <w:rPr>
                <w:rFonts w:ascii="Times New Roman" w:hAnsi="Times New Roman"/>
                <w:sz w:val="22"/>
                <w:szCs w:val="22"/>
                <w:lang w:val="sr-Cyrl-RS"/>
              </w:rPr>
            </w:pPr>
          </w:p>
        </w:tc>
      </w:tr>
      <w:tr w:rsidR="00F91466" w:rsidRPr="00E00086" w14:paraId="57D4FCBC" w14:textId="77777777" w:rsidTr="00C76D4C">
        <w:trPr>
          <w:trHeight w:val="300"/>
        </w:trPr>
        <w:tc>
          <w:tcPr>
            <w:tcW w:w="298" w:type="pct"/>
            <w:vMerge/>
            <w:tcBorders>
              <w:top w:val="nil"/>
              <w:left w:val="single" w:sz="4" w:space="0" w:color="auto"/>
              <w:bottom w:val="single" w:sz="4" w:space="0" w:color="auto"/>
              <w:right w:val="single" w:sz="4" w:space="0" w:color="auto"/>
            </w:tcBorders>
            <w:vAlign w:val="center"/>
            <w:hideMark/>
          </w:tcPr>
          <w:p w14:paraId="461F4C19"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39B726FC"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noWrap/>
            <w:hideMark/>
          </w:tcPr>
          <w:p w14:paraId="425F6B76" w14:textId="77777777" w:rsidR="00F91466" w:rsidRPr="00E00086" w:rsidRDefault="00F91466" w:rsidP="0047334A">
            <w:pPr>
              <w:rPr>
                <w:rFonts w:ascii="Times New Roman" w:hAnsi="Times New Roman"/>
                <w:sz w:val="20"/>
                <w:lang w:val="sr-Cyrl-RS"/>
              </w:rPr>
            </w:pPr>
            <w:r w:rsidRPr="00E00086">
              <w:rPr>
                <w:rFonts w:ascii="Times New Roman" w:hAnsi="Times New Roman"/>
                <w:sz w:val="20"/>
                <w:lang w:val="sr-Cyrl-RS"/>
              </w:rPr>
              <w:t>Пројекат мађарско - српске железнице</w:t>
            </w:r>
          </w:p>
        </w:tc>
        <w:tc>
          <w:tcPr>
            <w:tcW w:w="801" w:type="pct"/>
            <w:tcBorders>
              <w:top w:val="nil"/>
              <w:left w:val="nil"/>
              <w:bottom w:val="single" w:sz="4" w:space="0" w:color="auto"/>
              <w:right w:val="single" w:sz="4" w:space="0" w:color="auto"/>
            </w:tcBorders>
            <w:shd w:val="clear" w:color="auto" w:fill="auto"/>
            <w:noWrap/>
            <w:vAlign w:val="bottom"/>
            <w:hideMark/>
          </w:tcPr>
          <w:p w14:paraId="61AA6681"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17.989.622.000</w:t>
            </w:r>
          </w:p>
        </w:tc>
        <w:tc>
          <w:tcPr>
            <w:tcW w:w="105" w:type="pct"/>
            <w:vAlign w:val="center"/>
            <w:hideMark/>
          </w:tcPr>
          <w:p w14:paraId="612B5E7E" w14:textId="77777777" w:rsidR="00F91466" w:rsidRPr="00E00086" w:rsidRDefault="00F91466" w:rsidP="0047334A">
            <w:pPr>
              <w:rPr>
                <w:rFonts w:ascii="Times New Roman" w:hAnsi="Times New Roman"/>
                <w:sz w:val="22"/>
                <w:szCs w:val="22"/>
                <w:lang w:val="sr-Cyrl-RS"/>
              </w:rPr>
            </w:pPr>
          </w:p>
        </w:tc>
      </w:tr>
      <w:tr w:rsidR="00F91466" w:rsidRPr="00E00086" w14:paraId="14D5587E" w14:textId="77777777" w:rsidTr="00C76D4C">
        <w:trPr>
          <w:trHeight w:val="600"/>
        </w:trPr>
        <w:tc>
          <w:tcPr>
            <w:tcW w:w="298" w:type="pct"/>
            <w:vMerge/>
            <w:tcBorders>
              <w:top w:val="nil"/>
              <w:left w:val="single" w:sz="4" w:space="0" w:color="auto"/>
              <w:bottom w:val="single" w:sz="4" w:space="0" w:color="auto"/>
              <w:right w:val="single" w:sz="4" w:space="0" w:color="auto"/>
            </w:tcBorders>
            <w:vAlign w:val="center"/>
            <w:hideMark/>
          </w:tcPr>
          <w:p w14:paraId="20F0A6E5"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4B3F5690"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57E8B511" w14:textId="23DA6984"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Унапређење услова за превођење бродова у оквиру бране на Тиси код Новог Бечеја</w:t>
            </w:r>
            <w:r w:rsidR="001452A9"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bottom"/>
            <w:hideMark/>
          </w:tcPr>
          <w:p w14:paraId="15773674"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21.000.000</w:t>
            </w:r>
          </w:p>
        </w:tc>
        <w:tc>
          <w:tcPr>
            <w:tcW w:w="105" w:type="pct"/>
            <w:vAlign w:val="center"/>
            <w:hideMark/>
          </w:tcPr>
          <w:p w14:paraId="1970BB7D" w14:textId="77777777" w:rsidR="00F91466" w:rsidRPr="00E00086" w:rsidRDefault="00F91466" w:rsidP="0047334A">
            <w:pPr>
              <w:rPr>
                <w:rFonts w:ascii="Times New Roman" w:hAnsi="Times New Roman"/>
                <w:sz w:val="22"/>
                <w:szCs w:val="22"/>
                <w:lang w:val="sr-Cyrl-RS"/>
              </w:rPr>
            </w:pPr>
          </w:p>
        </w:tc>
      </w:tr>
      <w:tr w:rsidR="00F91466" w:rsidRPr="00E00086" w14:paraId="1E0A984C" w14:textId="77777777" w:rsidTr="00C76D4C">
        <w:trPr>
          <w:trHeight w:val="300"/>
        </w:trPr>
        <w:tc>
          <w:tcPr>
            <w:tcW w:w="298" w:type="pct"/>
            <w:vMerge/>
            <w:tcBorders>
              <w:top w:val="nil"/>
              <w:left w:val="single" w:sz="4" w:space="0" w:color="auto"/>
              <w:bottom w:val="single" w:sz="4" w:space="0" w:color="auto"/>
              <w:right w:val="single" w:sz="4" w:space="0" w:color="auto"/>
            </w:tcBorders>
            <w:vAlign w:val="center"/>
            <w:hideMark/>
          </w:tcPr>
          <w:p w14:paraId="57B0A872"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2F3B12FA"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0853DA70" w14:textId="2B06182E"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Проширење капацитета Луке Сремска Митровица</w:t>
            </w:r>
            <w:r w:rsidR="001452A9"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bottom"/>
            <w:hideMark/>
          </w:tcPr>
          <w:p w14:paraId="13EFB775"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416.260.000</w:t>
            </w:r>
          </w:p>
        </w:tc>
        <w:tc>
          <w:tcPr>
            <w:tcW w:w="105" w:type="pct"/>
            <w:vAlign w:val="center"/>
            <w:hideMark/>
          </w:tcPr>
          <w:p w14:paraId="6E5DC2E4" w14:textId="77777777" w:rsidR="00F91466" w:rsidRPr="00E00086" w:rsidRDefault="00F91466" w:rsidP="0047334A">
            <w:pPr>
              <w:rPr>
                <w:rFonts w:ascii="Times New Roman" w:hAnsi="Times New Roman"/>
                <w:sz w:val="22"/>
                <w:szCs w:val="22"/>
                <w:lang w:val="sr-Cyrl-RS"/>
              </w:rPr>
            </w:pPr>
          </w:p>
        </w:tc>
      </w:tr>
      <w:tr w:rsidR="00F91466" w:rsidRPr="00E00086" w14:paraId="6ABA4EC0" w14:textId="77777777" w:rsidTr="00C76D4C">
        <w:trPr>
          <w:trHeight w:val="300"/>
        </w:trPr>
        <w:tc>
          <w:tcPr>
            <w:tcW w:w="298" w:type="pct"/>
            <w:vMerge/>
            <w:tcBorders>
              <w:top w:val="nil"/>
              <w:left w:val="single" w:sz="4" w:space="0" w:color="auto"/>
              <w:bottom w:val="single" w:sz="4" w:space="0" w:color="auto"/>
              <w:right w:val="single" w:sz="4" w:space="0" w:color="auto"/>
            </w:tcBorders>
            <w:vAlign w:val="center"/>
            <w:hideMark/>
          </w:tcPr>
          <w:p w14:paraId="17814BA4"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563F969D"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6081DC2D" w14:textId="062A9796"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Проширење капацитета Луке Богојево</w:t>
            </w:r>
            <w:r w:rsidR="001452A9"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bottom"/>
            <w:hideMark/>
          </w:tcPr>
          <w:p w14:paraId="70E88DB3"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400.000.000</w:t>
            </w:r>
          </w:p>
        </w:tc>
        <w:tc>
          <w:tcPr>
            <w:tcW w:w="105" w:type="pct"/>
            <w:vAlign w:val="center"/>
            <w:hideMark/>
          </w:tcPr>
          <w:p w14:paraId="249106B0" w14:textId="77777777" w:rsidR="00F91466" w:rsidRPr="00E00086" w:rsidRDefault="00F91466" w:rsidP="0047334A">
            <w:pPr>
              <w:rPr>
                <w:rFonts w:ascii="Times New Roman" w:hAnsi="Times New Roman"/>
                <w:sz w:val="22"/>
                <w:szCs w:val="22"/>
                <w:lang w:val="sr-Cyrl-RS"/>
              </w:rPr>
            </w:pPr>
          </w:p>
        </w:tc>
      </w:tr>
      <w:tr w:rsidR="00F91466" w:rsidRPr="00E00086" w14:paraId="75A92716" w14:textId="77777777" w:rsidTr="00C76D4C">
        <w:trPr>
          <w:trHeight w:val="600"/>
        </w:trPr>
        <w:tc>
          <w:tcPr>
            <w:tcW w:w="298" w:type="pct"/>
            <w:vMerge/>
            <w:tcBorders>
              <w:top w:val="nil"/>
              <w:left w:val="single" w:sz="4" w:space="0" w:color="auto"/>
              <w:bottom w:val="single" w:sz="4" w:space="0" w:color="auto"/>
              <w:right w:val="single" w:sz="4" w:space="0" w:color="auto"/>
            </w:tcBorders>
            <w:vAlign w:val="center"/>
            <w:hideMark/>
          </w:tcPr>
          <w:p w14:paraId="086BFA2A"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3168CBA4"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1C5916C4" w14:textId="6BF9CDF6"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Реконструкција и доградња граничног прелаза Хоргош</w:t>
            </w:r>
            <w:r w:rsidR="001452A9"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bottom"/>
            <w:hideMark/>
          </w:tcPr>
          <w:p w14:paraId="20CB1BEC"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380.000.000</w:t>
            </w:r>
          </w:p>
        </w:tc>
        <w:tc>
          <w:tcPr>
            <w:tcW w:w="105" w:type="pct"/>
            <w:vAlign w:val="center"/>
            <w:hideMark/>
          </w:tcPr>
          <w:p w14:paraId="2AFAE17C" w14:textId="77777777" w:rsidR="00F91466" w:rsidRPr="00E00086" w:rsidRDefault="00F91466" w:rsidP="0047334A">
            <w:pPr>
              <w:rPr>
                <w:rFonts w:ascii="Times New Roman" w:hAnsi="Times New Roman"/>
                <w:sz w:val="22"/>
                <w:szCs w:val="22"/>
                <w:lang w:val="sr-Cyrl-RS"/>
              </w:rPr>
            </w:pPr>
          </w:p>
        </w:tc>
      </w:tr>
      <w:tr w:rsidR="00F91466" w:rsidRPr="00E00086" w14:paraId="194DB679" w14:textId="77777777" w:rsidTr="00C76D4C">
        <w:trPr>
          <w:trHeight w:val="600"/>
        </w:trPr>
        <w:tc>
          <w:tcPr>
            <w:tcW w:w="298" w:type="pct"/>
            <w:vMerge/>
            <w:tcBorders>
              <w:top w:val="nil"/>
              <w:left w:val="single" w:sz="4" w:space="0" w:color="auto"/>
              <w:bottom w:val="single" w:sz="4" w:space="0" w:color="auto"/>
              <w:right w:val="single" w:sz="4" w:space="0" w:color="auto"/>
            </w:tcBorders>
            <w:vAlign w:val="center"/>
            <w:hideMark/>
          </w:tcPr>
          <w:p w14:paraId="754D7D69"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38D12041"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49CF21DF" w14:textId="695F401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Изградња моста - обилазнице око Новог Сада са приступним саобраћајницама</w:t>
            </w:r>
            <w:r w:rsidR="001452A9"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bottom"/>
            <w:hideMark/>
          </w:tcPr>
          <w:p w14:paraId="2A53540F"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3.000.000.000</w:t>
            </w:r>
          </w:p>
        </w:tc>
        <w:tc>
          <w:tcPr>
            <w:tcW w:w="105" w:type="pct"/>
            <w:vAlign w:val="center"/>
            <w:hideMark/>
          </w:tcPr>
          <w:p w14:paraId="59CC9A71" w14:textId="77777777" w:rsidR="00F91466" w:rsidRPr="00E00086" w:rsidRDefault="00F91466" w:rsidP="0047334A">
            <w:pPr>
              <w:rPr>
                <w:rFonts w:ascii="Times New Roman" w:hAnsi="Times New Roman"/>
                <w:sz w:val="22"/>
                <w:szCs w:val="22"/>
                <w:lang w:val="sr-Cyrl-RS"/>
              </w:rPr>
            </w:pPr>
          </w:p>
        </w:tc>
      </w:tr>
      <w:tr w:rsidR="00F91466" w:rsidRPr="00E00086" w14:paraId="36EF3F66" w14:textId="77777777" w:rsidTr="00C76D4C">
        <w:trPr>
          <w:trHeight w:val="300"/>
        </w:trPr>
        <w:tc>
          <w:tcPr>
            <w:tcW w:w="298" w:type="pct"/>
            <w:vMerge/>
            <w:tcBorders>
              <w:top w:val="nil"/>
              <w:left w:val="single" w:sz="4" w:space="0" w:color="auto"/>
              <w:bottom w:val="single" w:sz="4" w:space="0" w:color="auto"/>
              <w:right w:val="single" w:sz="4" w:space="0" w:color="auto"/>
            </w:tcBorders>
            <w:vAlign w:val="center"/>
            <w:hideMark/>
          </w:tcPr>
          <w:p w14:paraId="555DF621"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10B83658"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06098618" w14:textId="53D156D0"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 xml:space="preserve">Изградња аутопута, деоница: Београд </w:t>
            </w:r>
            <w:r w:rsidR="007E5C91" w:rsidRPr="00E00086">
              <w:rPr>
                <w:rFonts w:ascii="Times New Roman" w:hAnsi="Times New Roman"/>
                <w:color w:val="000000"/>
                <w:sz w:val="20"/>
                <w:lang w:val="sr-Cyrl-RS"/>
              </w:rPr>
              <w:t>-</w:t>
            </w:r>
            <w:r w:rsidRPr="00E00086">
              <w:rPr>
                <w:rFonts w:ascii="Times New Roman" w:hAnsi="Times New Roman"/>
                <w:color w:val="000000"/>
                <w:sz w:val="20"/>
                <w:lang w:val="sr-Cyrl-RS"/>
              </w:rPr>
              <w:t>Зрењанин</w:t>
            </w:r>
            <w:r w:rsidR="001452A9"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bottom"/>
            <w:hideMark/>
          </w:tcPr>
          <w:p w14:paraId="3669FC12" w14:textId="77777777" w:rsidR="00F91466" w:rsidRPr="00E00086" w:rsidRDefault="00F91466" w:rsidP="0047334A">
            <w:pPr>
              <w:jc w:val="right"/>
              <w:rPr>
                <w:rFonts w:ascii="Times New Roman" w:hAnsi="Times New Roman"/>
                <w:sz w:val="22"/>
                <w:szCs w:val="22"/>
                <w:lang w:val="sr-Cyrl-RS"/>
              </w:rPr>
            </w:pPr>
            <w:r w:rsidRPr="00E00086">
              <w:rPr>
                <w:rFonts w:ascii="Times New Roman" w:hAnsi="Times New Roman"/>
                <w:sz w:val="22"/>
                <w:szCs w:val="22"/>
                <w:lang w:val="sr-Cyrl-RS"/>
              </w:rPr>
              <w:t>12.013.000.000</w:t>
            </w:r>
          </w:p>
        </w:tc>
        <w:tc>
          <w:tcPr>
            <w:tcW w:w="105" w:type="pct"/>
            <w:vAlign w:val="center"/>
            <w:hideMark/>
          </w:tcPr>
          <w:p w14:paraId="1AF7FE9B" w14:textId="77777777" w:rsidR="00F91466" w:rsidRPr="00E00086" w:rsidRDefault="00F91466" w:rsidP="0047334A">
            <w:pPr>
              <w:rPr>
                <w:rFonts w:ascii="Times New Roman" w:hAnsi="Times New Roman"/>
                <w:sz w:val="22"/>
                <w:szCs w:val="22"/>
                <w:lang w:val="sr-Cyrl-RS"/>
              </w:rPr>
            </w:pPr>
          </w:p>
        </w:tc>
      </w:tr>
      <w:tr w:rsidR="00F91466" w:rsidRPr="00E00086" w14:paraId="7C3FBEE3" w14:textId="77777777" w:rsidTr="00C76D4C">
        <w:trPr>
          <w:trHeight w:val="600"/>
        </w:trPr>
        <w:tc>
          <w:tcPr>
            <w:tcW w:w="298" w:type="pct"/>
            <w:vMerge/>
            <w:tcBorders>
              <w:top w:val="nil"/>
              <w:left w:val="single" w:sz="4" w:space="0" w:color="auto"/>
              <w:bottom w:val="single" w:sz="4" w:space="0" w:color="auto"/>
              <w:right w:val="single" w:sz="4" w:space="0" w:color="auto"/>
            </w:tcBorders>
            <w:vAlign w:val="center"/>
            <w:hideMark/>
          </w:tcPr>
          <w:p w14:paraId="136003A6"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6578B7BE"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632DD5F4" w14:textId="6A9F107F"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Пројекат изградње пешачко-бициклистичког моста на стубовима старог моста у Новом Саду</w:t>
            </w:r>
            <w:r w:rsidR="001452A9"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bottom"/>
            <w:hideMark/>
          </w:tcPr>
          <w:p w14:paraId="7075DAFD" w14:textId="77777777" w:rsidR="00F91466" w:rsidRPr="00E00086" w:rsidRDefault="00F91466" w:rsidP="0047334A">
            <w:pPr>
              <w:jc w:val="right"/>
              <w:rPr>
                <w:rFonts w:ascii="Times New Roman" w:hAnsi="Times New Roman"/>
                <w:sz w:val="22"/>
                <w:szCs w:val="22"/>
                <w:lang w:val="sr-Cyrl-RS"/>
              </w:rPr>
            </w:pPr>
            <w:r w:rsidRPr="00E00086">
              <w:rPr>
                <w:rFonts w:ascii="Times New Roman" w:hAnsi="Times New Roman"/>
                <w:sz w:val="22"/>
                <w:szCs w:val="22"/>
                <w:lang w:val="sr-Cyrl-RS"/>
              </w:rPr>
              <w:t>500.000.000</w:t>
            </w:r>
          </w:p>
        </w:tc>
        <w:tc>
          <w:tcPr>
            <w:tcW w:w="105" w:type="pct"/>
            <w:vAlign w:val="center"/>
            <w:hideMark/>
          </w:tcPr>
          <w:p w14:paraId="745F0495" w14:textId="77777777" w:rsidR="00F91466" w:rsidRPr="00E00086" w:rsidRDefault="00F91466" w:rsidP="0047334A">
            <w:pPr>
              <w:rPr>
                <w:rFonts w:ascii="Times New Roman" w:hAnsi="Times New Roman"/>
                <w:sz w:val="22"/>
                <w:szCs w:val="22"/>
                <w:lang w:val="sr-Cyrl-RS"/>
              </w:rPr>
            </w:pPr>
          </w:p>
        </w:tc>
      </w:tr>
      <w:tr w:rsidR="00F91466" w:rsidRPr="00E00086" w14:paraId="2BCC3ADD" w14:textId="77777777" w:rsidTr="00C76D4C">
        <w:trPr>
          <w:trHeight w:val="602"/>
        </w:trPr>
        <w:tc>
          <w:tcPr>
            <w:tcW w:w="298" w:type="pct"/>
            <w:vMerge/>
            <w:tcBorders>
              <w:top w:val="nil"/>
              <w:left w:val="single" w:sz="4" w:space="0" w:color="auto"/>
              <w:bottom w:val="single" w:sz="4" w:space="0" w:color="auto"/>
              <w:right w:val="single" w:sz="4" w:space="0" w:color="auto"/>
            </w:tcBorders>
            <w:vAlign w:val="center"/>
            <w:hideMark/>
          </w:tcPr>
          <w:p w14:paraId="348B06EC"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54955A55"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799121DC" w14:textId="76774E38" w:rsidR="00CC75BF" w:rsidRPr="00E00086" w:rsidRDefault="00CC75BF" w:rsidP="00CC75BF">
            <w:pPr>
              <w:rPr>
                <w:rFonts w:asciiTheme="minorHAnsi" w:hAnsiTheme="minorHAnsi"/>
                <w:sz w:val="18"/>
                <w:szCs w:val="16"/>
                <w:lang w:val="sr-Cyrl-RS"/>
              </w:rPr>
            </w:pPr>
            <w:r w:rsidRPr="00E00086">
              <w:rPr>
                <w:sz w:val="20"/>
                <w:szCs w:val="16"/>
                <w:lang w:val="sr-Cyrl-RS"/>
              </w:rPr>
              <w:t>Пројекат изградње комуналне (канализационе) инфраструктуре и инфраструктуре за одлагање комуналног чврстог отпада у Републици Србији</w:t>
            </w:r>
            <w:r w:rsidR="00260434" w:rsidRPr="00E00086">
              <w:rPr>
                <w:rFonts w:asciiTheme="minorHAnsi" w:hAnsiTheme="minorHAnsi"/>
                <w:sz w:val="20"/>
                <w:szCs w:val="16"/>
                <w:lang w:val="sr-Cyrl-RS"/>
              </w:rPr>
              <w:t>.</w:t>
            </w:r>
          </w:p>
          <w:p w14:paraId="00B75D7A" w14:textId="50CD931A" w:rsidR="00F91466" w:rsidRPr="00E00086" w:rsidRDefault="00F91466" w:rsidP="0047334A">
            <w:pPr>
              <w:rPr>
                <w:rFonts w:ascii="Times New Roman" w:hAnsi="Times New Roman"/>
                <w:color w:val="000000"/>
                <w:sz w:val="20"/>
                <w:lang w:val="sr-Cyrl-RS"/>
              </w:rPr>
            </w:pPr>
          </w:p>
        </w:tc>
        <w:tc>
          <w:tcPr>
            <w:tcW w:w="801" w:type="pct"/>
            <w:tcBorders>
              <w:top w:val="nil"/>
              <w:left w:val="nil"/>
              <w:bottom w:val="single" w:sz="4" w:space="0" w:color="auto"/>
              <w:right w:val="single" w:sz="4" w:space="0" w:color="auto"/>
            </w:tcBorders>
            <w:shd w:val="clear" w:color="auto" w:fill="auto"/>
            <w:noWrap/>
            <w:vAlign w:val="bottom"/>
            <w:hideMark/>
          </w:tcPr>
          <w:p w14:paraId="1589C8B2" w14:textId="77777777" w:rsidR="00F91466" w:rsidRPr="00E00086" w:rsidRDefault="00F91466" w:rsidP="0047334A">
            <w:pPr>
              <w:jc w:val="right"/>
              <w:rPr>
                <w:rFonts w:ascii="Times New Roman" w:hAnsi="Times New Roman"/>
                <w:sz w:val="22"/>
                <w:szCs w:val="22"/>
                <w:lang w:val="sr-Cyrl-RS"/>
              </w:rPr>
            </w:pPr>
            <w:r w:rsidRPr="00E00086">
              <w:rPr>
                <w:rFonts w:ascii="Times New Roman" w:hAnsi="Times New Roman"/>
                <w:sz w:val="22"/>
                <w:szCs w:val="22"/>
                <w:lang w:val="sr-Cyrl-RS"/>
              </w:rPr>
              <w:t>4.000.000.000</w:t>
            </w:r>
          </w:p>
        </w:tc>
        <w:tc>
          <w:tcPr>
            <w:tcW w:w="105" w:type="pct"/>
            <w:vAlign w:val="center"/>
            <w:hideMark/>
          </w:tcPr>
          <w:p w14:paraId="61E5110E" w14:textId="77777777" w:rsidR="00F91466" w:rsidRPr="00E00086" w:rsidRDefault="00F91466" w:rsidP="0047334A">
            <w:pPr>
              <w:rPr>
                <w:rFonts w:ascii="Times New Roman" w:hAnsi="Times New Roman"/>
                <w:sz w:val="22"/>
                <w:szCs w:val="22"/>
                <w:lang w:val="sr-Cyrl-RS"/>
              </w:rPr>
            </w:pPr>
          </w:p>
        </w:tc>
      </w:tr>
      <w:tr w:rsidR="00F91466" w:rsidRPr="00E00086" w14:paraId="3AAAAF5F" w14:textId="77777777" w:rsidTr="00C76D4C">
        <w:trPr>
          <w:trHeight w:val="6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54FAFA50"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14</w:t>
            </w:r>
          </w:p>
        </w:tc>
        <w:tc>
          <w:tcPr>
            <w:tcW w:w="1946" w:type="pct"/>
            <w:tcBorders>
              <w:top w:val="nil"/>
              <w:left w:val="nil"/>
              <w:bottom w:val="single" w:sz="4" w:space="0" w:color="auto"/>
              <w:right w:val="single" w:sz="4" w:space="0" w:color="auto"/>
            </w:tcBorders>
            <w:shd w:val="clear" w:color="auto" w:fill="auto"/>
            <w:vAlign w:val="center"/>
            <w:hideMark/>
          </w:tcPr>
          <w:p w14:paraId="3B61BA96"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правде</w:t>
            </w:r>
          </w:p>
        </w:tc>
        <w:tc>
          <w:tcPr>
            <w:tcW w:w="1851" w:type="pct"/>
            <w:tcBorders>
              <w:top w:val="nil"/>
              <w:left w:val="nil"/>
              <w:bottom w:val="single" w:sz="4" w:space="0" w:color="auto"/>
              <w:right w:val="single" w:sz="4" w:space="0" w:color="auto"/>
            </w:tcBorders>
            <w:shd w:val="clear" w:color="auto" w:fill="auto"/>
            <w:vAlign w:val="center"/>
            <w:hideMark/>
          </w:tcPr>
          <w:p w14:paraId="2F3FD912"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Реконструкција и адаптација објекта Привредног суда у Сомбору.</w:t>
            </w:r>
          </w:p>
        </w:tc>
        <w:tc>
          <w:tcPr>
            <w:tcW w:w="801" w:type="pct"/>
            <w:tcBorders>
              <w:top w:val="nil"/>
              <w:left w:val="nil"/>
              <w:bottom w:val="single" w:sz="4" w:space="0" w:color="auto"/>
              <w:right w:val="single" w:sz="4" w:space="0" w:color="auto"/>
            </w:tcBorders>
            <w:shd w:val="clear" w:color="auto" w:fill="auto"/>
            <w:vAlign w:val="center"/>
            <w:hideMark/>
          </w:tcPr>
          <w:p w14:paraId="3F775371"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100.000.000</w:t>
            </w:r>
          </w:p>
        </w:tc>
        <w:tc>
          <w:tcPr>
            <w:tcW w:w="105" w:type="pct"/>
            <w:vAlign w:val="center"/>
            <w:hideMark/>
          </w:tcPr>
          <w:p w14:paraId="5FC8EFF7" w14:textId="77777777" w:rsidR="00F91466" w:rsidRPr="00E00086" w:rsidRDefault="00F91466" w:rsidP="0047334A">
            <w:pPr>
              <w:rPr>
                <w:rFonts w:ascii="Times New Roman" w:hAnsi="Times New Roman"/>
                <w:sz w:val="22"/>
                <w:szCs w:val="22"/>
                <w:lang w:val="sr-Cyrl-RS"/>
              </w:rPr>
            </w:pPr>
          </w:p>
        </w:tc>
      </w:tr>
      <w:tr w:rsidR="00F91466" w:rsidRPr="00E00086" w14:paraId="7882EF7E" w14:textId="77777777" w:rsidTr="00C76D4C">
        <w:trPr>
          <w:trHeight w:val="600"/>
        </w:trPr>
        <w:tc>
          <w:tcPr>
            <w:tcW w:w="29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16A4C8"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15</w:t>
            </w:r>
          </w:p>
        </w:tc>
        <w:tc>
          <w:tcPr>
            <w:tcW w:w="1946" w:type="pct"/>
            <w:vMerge w:val="restart"/>
            <w:tcBorders>
              <w:top w:val="nil"/>
              <w:left w:val="single" w:sz="4" w:space="0" w:color="auto"/>
              <w:bottom w:val="single" w:sz="4" w:space="0" w:color="auto"/>
              <w:right w:val="single" w:sz="4" w:space="0" w:color="auto"/>
            </w:tcBorders>
            <w:shd w:val="clear" w:color="auto" w:fill="auto"/>
            <w:vAlign w:val="center"/>
            <w:hideMark/>
          </w:tcPr>
          <w:p w14:paraId="1CBC5B42"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правде - Управа за извршење кривичних санкција</w:t>
            </w:r>
          </w:p>
        </w:tc>
        <w:tc>
          <w:tcPr>
            <w:tcW w:w="1851" w:type="pct"/>
            <w:tcBorders>
              <w:top w:val="nil"/>
              <w:left w:val="nil"/>
              <w:bottom w:val="single" w:sz="4" w:space="0" w:color="auto"/>
              <w:right w:val="single" w:sz="4" w:space="0" w:color="auto"/>
            </w:tcBorders>
            <w:shd w:val="clear" w:color="auto" w:fill="auto"/>
            <w:vAlign w:val="center"/>
            <w:hideMark/>
          </w:tcPr>
          <w:p w14:paraId="0105BB36" w14:textId="38B7A65D"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Радови на реконструкцији и изградњи објеката у оквиру КПЗ у Сремској Митровици</w:t>
            </w:r>
            <w:r w:rsidR="0023417A"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vAlign w:val="center"/>
            <w:hideMark/>
          </w:tcPr>
          <w:p w14:paraId="53EBBDFD" w14:textId="565323F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w:t>
            </w:r>
            <w:r w:rsidR="009F29E4">
              <w:rPr>
                <w:rFonts w:ascii="Times New Roman" w:hAnsi="Times New Roman"/>
                <w:color w:val="000000"/>
                <w:sz w:val="22"/>
                <w:szCs w:val="22"/>
                <w:lang w:val="sr-Cyrl-RS"/>
              </w:rPr>
              <w:t>29</w:t>
            </w:r>
            <w:r w:rsidRPr="00E00086">
              <w:rPr>
                <w:rFonts w:ascii="Times New Roman" w:hAnsi="Times New Roman"/>
                <w:color w:val="000000"/>
                <w:sz w:val="22"/>
                <w:szCs w:val="22"/>
                <w:lang w:val="sr-Cyrl-RS"/>
              </w:rPr>
              <w:t>.000.000</w:t>
            </w:r>
          </w:p>
        </w:tc>
        <w:tc>
          <w:tcPr>
            <w:tcW w:w="105" w:type="pct"/>
            <w:vAlign w:val="center"/>
            <w:hideMark/>
          </w:tcPr>
          <w:p w14:paraId="15E475AB" w14:textId="77777777" w:rsidR="00F91466" w:rsidRPr="00E00086" w:rsidRDefault="00F91466" w:rsidP="0047334A">
            <w:pPr>
              <w:rPr>
                <w:rFonts w:ascii="Times New Roman" w:hAnsi="Times New Roman"/>
                <w:sz w:val="22"/>
                <w:szCs w:val="22"/>
                <w:lang w:val="sr-Cyrl-RS"/>
              </w:rPr>
            </w:pPr>
          </w:p>
        </w:tc>
      </w:tr>
      <w:tr w:rsidR="00F91466" w:rsidRPr="00E00086" w14:paraId="3D9049E1" w14:textId="77777777" w:rsidTr="00C76D4C">
        <w:trPr>
          <w:trHeight w:val="600"/>
        </w:trPr>
        <w:tc>
          <w:tcPr>
            <w:tcW w:w="298" w:type="pct"/>
            <w:vMerge/>
            <w:tcBorders>
              <w:top w:val="nil"/>
              <w:left w:val="single" w:sz="4" w:space="0" w:color="auto"/>
              <w:bottom w:val="single" w:sz="4" w:space="0" w:color="auto"/>
              <w:right w:val="single" w:sz="4" w:space="0" w:color="auto"/>
            </w:tcBorders>
            <w:vAlign w:val="center"/>
            <w:hideMark/>
          </w:tcPr>
          <w:p w14:paraId="522AB4D3"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4B67ECD3"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6CF54340"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Изградња и опремање новог павиљона у Сремској Митровици.</w:t>
            </w:r>
          </w:p>
        </w:tc>
        <w:tc>
          <w:tcPr>
            <w:tcW w:w="801" w:type="pct"/>
            <w:tcBorders>
              <w:top w:val="nil"/>
              <w:left w:val="nil"/>
              <w:bottom w:val="single" w:sz="4" w:space="0" w:color="auto"/>
              <w:right w:val="single" w:sz="4" w:space="0" w:color="auto"/>
            </w:tcBorders>
            <w:shd w:val="clear" w:color="auto" w:fill="auto"/>
            <w:vAlign w:val="center"/>
            <w:hideMark/>
          </w:tcPr>
          <w:p w14:paraId="1821DDF9"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76.650.000</w:t>
            </w:r>
          </w:p>
        </w:tc>
        <w:tc>
          <w:tcPr>
            <w:tcW w:w="105" w:type="pct"/>
            <w:vAlign w:val="center"/>
            <w:hideMark/>
          </w:tcPr>
          <w:p w14:paraId="664D4656" w14:textId="77777777" w:rsidR="00F91466" w:rsidRPr="00E00086" w:rsidRDefault="00F91466" w:rsidP="0047334A">
            <w:pPr>
              <w:rPr>
                <w:rFonts w:ascii="Times New Roman" w:hAnsi="Times New Roman"/>
                <w:sz w:val="22"/>
                <w:szCs w:val="22"/>
                <w:lang w:val="sr-Cyrl-RS"/>
              </w:rPr>
            </w:pPr>
          </w:p>
        </w:tc>
      </w:tr>
      <w:tr w:rsidR="00F91466" w:rsidRPr="00E00086" w14:paraId="0A278C99" w14:textId="77777777" w:rsidTr="00C76D4C">
        <w:trPr>
          <w:trHeight w:val="300"/>
        </w:trPr>
        <w:tc>
          <w:tcPr>
            <w:tcW w:w="298" w:type="pct"/>
            <w:vMerge/>
            <w:tcBorders>
              <w:top w:val="nil"/>
              <w:left w:val="single" w:sz="4" w:space="0" w:color="auto"/>
              <w:bottom w:val="single" w:sz="4" w:space="0" w:color="auto"/>
              <w:right w:val="single" w:sz="4" w:space="0" w:color="auto"/>
            </w:tcBorders>
            <w:vAlign w:val="center"/>
            <w:hideMark/>
          </w:tcPr>
          <w:p w14:paraId="636F0125"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348BE26D"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757A3E58" w14:textId="746ECAFA"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Изградња и опремање новог затвора у Суботици</w:t>
            </w:r>
            <w:r w:rsidR="00D61C4A"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vAlign w:val="center"/>
            <w:hideMark/>
          </w:tcPr>
          <w:p w14:paraId="6DB6B27F"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62.500.000</w:t>
            </w:r>
          </w:p>
        </w:tc>
        <w:tc>
          <w:tcPr>
            <w:tcW w:w="105" w:type="pct"/>
            <w:vAlign w:val="center"/>
            <w:hideMark/>
          </w:tcPr>
          <w:p w14:paraId="14EAAE25" w14:textId="77777777" w:rsidR="00F91466" w:rsidRPr="00E00086" w:rsidRDefault="00F91466" w:rsidP="0047334A">
            <w:pPr>
              <w:rPr>
                <w:rFonts w:ascii="Times New Roman" w:hAnsi="Times New Roman"/>
                <w:sz w:val="22"/>
                <w:szCs w:val="22"/>
                <w:lang w:val="sr-Cyrl-RS"/>
              </w:rPr>
            </w:pPr>
          </w:p>
        </w:tc>
      </w:tr>
      <w:tr w:rsidR="00F91466" w:rsidRPr="00E00086" w14:paraId="28609401" w14:textId="77777777" w:rsidTr="00C76D4C">
        <w:trPr>
          <w:trHeight w:val="300"/>
        </w:trPr>
        <w:tc>
          <w:tcPr>
            <w:tcW w:w="298" w:type="pct"/>
            <w:tcBorders>
              <w:top w:val="nil"/>
              <w:left w:val="single" w:sz="4" w:space="0" w:color="auto"/>
              <w:bottom w:val="single" w:sz="4" w:space="0" w:color="auto"/>
              <w:right w:val="single" w:sz="4" w:space="0" w:color="auto"/>
            </w:tcBorders>
            <w:shd w:val="clear" w:color="auto" w:fill="auto"/>
            <w:noWrap/>
            <w:vAlign w:val="center"/>
          </w:tcPr>
          <w:p w14:paraId="2A49842D"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16</w:t>
            </w:r>
          </w:p>
        </w:tc>
        <w:tc>
          <w:tcPr>
            <w:tcW w:w="1946" w:type="pct"/>
            <w:tcBorders>
              <w:top w:val="nil"/>
              <w:left w:val="nil"/>
              <w:bottom w:val="single" w:sz="4" w:space="0" w:color="auto"/>
              <w:right w:val="single" w:sz="4" w:space="0" w:color="auto"/>
            </w:tcBorders>
            <w:shd w:val="clear" w:color="auto" w:fill="auto"/>
            <w:vAlign w:val="center"/>
          </w:tcPr>
          <w:p w14:paraId="61608DD5"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пољопривреде, шумарства и водопривреде - Управа за аграрна плаћања</w:t>
            </w:r>
          </w:p>
        </w:tc>
        <w:tc>
          <w:tcPr>
            <w:tcW w:w="1851" w:type="pct"/>
            <w:tcBorders>
              <w:top w:val="nil"/>
              <w:left w:val="nil"/>
              <w:bottom w:val="single" w:sz="4" w:space="0" w:color="auto"/>
              <w:right w:val="single" w:sz="4" w:space="0" w:color="auto"/>
            </w:tcBorders>
            <w:shd w:val="clear" w:color="auto" w:fill="auto"/>
            <w:vAlign w:val="center"/>
          </w:tcPr>
          <w:p w14:paraId="502E1C43" w14:textId="35E6DB10"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Средства за подстицаје у пољопривреди</w:t>
            </w:r>
            <w:r w:rsidR="00D61C4A"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center"/>
          </w:tcPr>
          <w:p w14:paraId="13FF2829"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30.000.000.000</w:t>
            </w:r>
          </w:p>
        </w:tc>
        <w:tc>
          <w:tcPr>
            <w:tcW w:w="105" w:type="pct"/>
            <w:vAlign w:val="center"/>
          </w:tcPr>
          <w:p w14:paraId="3EB45D00" w14:textId="77777777" w:rsidR="00F91466" w:rsidRPr="00E00086" w:rsidRDefault="00F91466" w:rsidP="0047334A">
            <w:pPr>
              <w:rPr>
                <w:rFonts w:ascii="Times New Roman" w:hAnsi="Times New Roman"/>
                <w:sz w:val="22"/>
                <w:szCs w:val="22"/>
                <w:lang w:val="sr-Cyrl-RS"/>
              </w:rPr>
            </w:pPr>
          </w:p>
        </w:tc>
      </w:tr>
      <w:tr w:rsidR="00F91466" w:rsidRPr="00E00086" w14:paraId="5D3800A8" w14:textId="77777777" w:rsidTr="00C76D4C">
        <w:trPr>
          <w:trHeight w:val="3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1C1ABD63"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17</w:t>
            </w:r>
          </w:p>
        </w:tc>
        <w:tc>
          <w:tcPr>
            <w:tcW w:w="1946" w:type="pct"/>
            <w:tcBorders>
              <w:top w:val="nil"/>
              <w:left w:val="nil"/>
              <w:bottom w:val="single" w:sz="4" w:space="0" w:color="auto"/>
              <w:right w:val="single" w:sz="4" w:space="0" w:color="auto"/>
            </w:tcBorders>
            <w:shd w:val="clear" w:color="auto" w:fill="auto"/>
            <w:vAlign w:val="center"/>
            <w:hideMark/>
          </w:tcPr>
          <w:p w14:paraId="48E03C55"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пољопривреде, шумарства и водопривреде - Републичка дирекција за воде</w:t>
            </w:r>
          </w:p>
        </w:tc>
        <w:tc>
          <w:tcPr>
            <w:tcW w:w="1851" w:type="pct"/>
            <w:tcBorders>
              <w:top w:val="nil"/>
              <w:left w:val="nil"/>
              <w:bottom w:val="single" w:sz="4" w:space="0" w:color="auto"/>
              <w:right w:val="single" w:sz="4" w:space="0" w:color="auto"/>
            </w:tcBorders>
            <w:shd w:val="clear" w:color="auto" w:fill="auto"/>
            <w:vAlign w:val="center"/>
            <w:hideMark/>
          </w:tcPr>
          <w:p w14:paraId="5D7759A6" w14:textId="319ED890"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Изградња система за наводњавање - прва фаза</w:t>
            </w:r>
            <w:r w:rsidR="00D61C4A"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center"/>
            <w:hideMark/>
          </w:tcPr>
          <w:p w14:paraId="46B72E2A"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417.466.000</w:t>
            </w:r>
          </w:p>
        </w:tc>
        <w:tc>
          <w:tcPr>
            <w:tcW w:w="105" w:type="pct"/>
            <w:vAlign w:val="center"/>
            <w:hideMark/>
          </w:tcPr>
          <w:p w14:paraId="7C72DA92" w14:textId="77777777" w:rsidR="00F91466" w:rsidRPr="00E00086" w:rsidRDefault="00F91466" w:rsidP="0047334A">
            <w:pPr>
              <w:rPr>
                <w:rFonts w:ascii="Times New Roman" w:hAnsi="Times New Roman"/>
                <w:sz w:val="22"/>
                <w:szCs w:val="22"/>
                <w:lang w:val="sr-Cyrl-RS"/>
              </w:rPr>
            </w:pPr>
          </w:p>
        </w:tc>
      </w:tr>
      <w:tr w:rsidR="00F91466" w:rsidRPr="00E00086" w14:paraId="497165E7" w14:textId="77777777" w:rsidTr="00C76D4C">
        <w:trPr>
          <w:trHeight w:val="300"/>
        </w:trPr>
        <w:tc>
          <w:tcPr>
            <w:tcW w:w="29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7E2358"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18</w:t>
            </w:r>
          </w:p>
        </w:tc>
        <w:tc>
          <w:tcPr>
            <w:tcW w:w="1946" w:type="pct"/>
            <w:vMerge w:val="restart"/>
            <w:tcBorders>
              <w:top w:val="nil"/>
              <w:left w:val="single" w:sz="4" w:space="0" w:color="auto"/>
              <w:bottom w:val="single" w:sz="4" w:space="0" w:color="auto"/>
              <w:right w:val="single" w:sz="4" w:space="0" w:color="auto"/>
            </w:tcBorders>
            <w:shd w:val="clear" w:color="auto" w:fill="auto"/>
            <w:vAlign w:val="center"/>
            <w:hideMark/>
          </w:tcPr>
          <w:p w14:paraId="2A1EB98B"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заштите животне средине</w:t>
            </w:r>
          </w:p>
        </w:tc>
        <w:tc>
          <w:tcPr>
            <w:tcW w:w="1851" w:type="pct"/>
            <w:tcBorders>
              <w:top w:val="nil"/>
              <w:left w:val="nil"/>
              <w:bottom w:val="single" w:sz="4" w:space="0" w:color="auto"/>
              <w:right w:val="single" w:sz="4" w:space="0" w:color="auto"/>
            </w:tcBorders>
            <w:shd w:val="clear" w:color="auto" w:fill="auto"/>
            <w:noWrap/>
            <w:hideMark/>
          </w:tcPr>
          <w:p w14:paraId="77C0C36A" w14:textId="7FA9D6B5" w:rsidR="00F91466" w:rsidRPr="00E00086" w:rsidRDefault="00F91466" w:rsidP="0047334A">
            <w:pPr>
              <w:rPr>
                <w:rFonts w:ascii="Times New Roman" w:hAnsi="Times New Roman"/>
                <w:sz w:val="20"/>
                <w:lang w:val="sr-Cyrl-RS"/>
              </w:rPr>
            </w:pPr>
            <w:r w:rsidRPr="00E00086">
              <w:rPr>
                <w:rFonts w:ascii="Times New Roman" w:hAnsi="Times New Roman"/>
                <w:sz w:val="20"/>
                <w:lang w:val="sr-Cyrl-RS"/>
              </w:rPr>
              <w:t>Трансфери по конкурсима</w:t>
            </w:r>
            <w:r w:rsidR="00D61C4A" w:rsidRPr="00E00086">
              <w:rPr>
                <w:rFonts w:ascii="Times New Roman" w:hAnsi="Times New Roman"/>
                <w:sz w:val="20"/>
                <w:lang w:val="sr-Cyrl-RS"/>
              </w:rPr>
              <w:t>.</w:t>
            </w:r>
          </w:p>
        </w:tc>
        <w:tc>
          <w:tcPr>
            <w:tcW w:w="801" w:type="pct"/>
            <w:tcBorders>
              <w:top w:val="nil"/>
              <w:left w:val="nil"/>
              <w:bottom w:val="single" w:sz="4" w:space="0" w:color="auto"/>
              <w:right w:val="single" w:sz="4" w:space="0" w:color="auto"/>
            </w:tcBorders>
            <w:shd w:val="clear" w:color="auto" w:fill="auto"/>
            <w:noWrap/>
            <w:vAlign w:val="center"/>
            <w:hideMark/>
          </w:tcPr>
          <w:p w14:paraId="3915A302"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700.000.000</w:t>
            </w:r>
          </w:p>
        </w:tc>
        <w:tc>
          <w:tcPr>
            <w:tcW w:w="105" w:type="pct"/>
            <w:vAlign w:val="center"/>
            <w:hideMark/>
          </w:tcPr>
          <w:p w14:paraId="0E1B53FA" w14:textId="77777777" w:rsidR="00F91466" w:rsidRPr="00E00086" w:rsidRDefault="00F91466" w:rsidP="0047334A">
            <w:pPr>
              <w:rPr>
                <w:rFonts w:ascii="Times New Roman" w:hAnsi="Times New Roman"/>
                <w:sz w:val="22"/>
                <w:szCs w:val="22"/>
                <w:lang w:val="sr-Cyrl-RS"/>
              </w:rPr>
            </w:pPr>
          </w:p>
        </w:tc>
      </w:tr>
      <w:tr w:rsidR="00F91466" w:rsidRPr="00E00086" w14:paraId="6DB82324" w14:textId="77777777" w:rsidTr="00C76D4C">
        <w:trPr>
          <w:trHeight w:val="600"/>
        </w:trPr>
        <w:tc>
          <w:tcPr>
            <w:tcW w:w="298" w:type="pct"/>
            <w:vMerge/>
            <w:tcBorders>
              <w:top w:val="nil"/>
              <w:left w:val="single" w:sz="4" w:space="0" w:color="auto"/>
              <w:bottom w:val="single" w:sz="4" w:space="0" w:color="auto"/>
              <w:right w:val="single" w:sz="4" w:space="0" w:color="auto"/>
            </w:tcBorders>
            <w:vAlign w:val="center"/>
            <w:hideMark/>
          </w:tcPr>
          <w:p w14:paraId="1E5F1EB8"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422A3D7A"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698559D8" w14:textId="729956F5"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Подстицаји за програме управљања заштићеним природним добрима од националног интереса</w:t>
            </w:r>
            <w:r w:rsidR="00D61C4A"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center"/>
            <w:hideMark/>
          </w:tcPr>
          <w:p w14:paraId="3BD49C38"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120.000.000</w:t>
            </w:r>
          </w:p>
        </w:tc>
        <w:tc>
          <w:tcPr>
            <w:tcW w:w="105" w:type="pct"/>
            <w:vAlign w:val="center"/>
            <w:hideMark/>
          </w:tcPr>
          <w:p w14:paraId="6679E7A2" w14:textId="77777777" w:rsidR="00F91466" w:rsidRPr="00E00086" w:rsidRDefault="00F91466" w:rsidP="0047334A">
            <w:pPr>
              <w:rPr>
                <w:rFonts w:ascii="Times New Roman" w:hAnsi="Times New Roman"/>
                <w:sz w:val="22"/>
                <w:szCs w:val="22"/>
                <w:lang w:val="sr-Cyrl-RS"/>
              </w:rPr>
            </w:pPr>
          </w:p>
        </w:tc>
      </w:tr>
      <w:tr w:rsidR="00F91466" w:rsidRPr="00E00086" w14:paraId="0E40C440" w14:textId="77777777" w:rsidTr="00C76D4C">
        <w:trPr>
          <w:trHeight w:val="600"/>
        </w:trPr>
        <w:tc>
          <w:tcPr>
            <w:tcW w:w="298" w:type="pct"/>
            <w:vMerge/>
            <w:tcBorders>
              <w:top w:val="nil"/>
              <w:left w:val="single" w:sz="4" w:space="0" w:color="auto"/>
              <w:bottom w:val="single" w:sz="4" w:space="0" w:color="auto"/>
              <w:right w:val="single" w:sz="4" w:space="0" w:color="auto"/>
            </w:tcBorders>
            <w:vAlign w:val="center"/>
            <w:hideMark/>
          </w:tcPr>
          <w:p w14:paraId="4C290E7E"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5E1DDFB3"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3B1BAD65" w14:textId="27E40B7C"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Подстицаји за поновну употребу и искоришћење отпада</w:t>
            </w:r>
            <w:r w:rsidR="00D61C4A"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center"/>
            <w:hideMark/>
          </w:tcPr>
          <w:p w14:paraId="2FD7CD97"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1.300.000.000</w:t>
            </w:r>
          </w:p>
        </w:tc>
        <w:tc>
          <w:tcPr>
            <w:tcW w:w="105" w:type="pct"/>
            <w:vAlign w:val="center"/>
            <w:hideMark/>
          </w:tcPr>
          <w:p w14:paraId="04F6E1CA" w14:textId="77777777" w:rsidR="00F91466" w:rsidRPr="00E00086" w:rsidRDefault="00F91466" w:rsidP="0047334A">
            <w:pPr>
              <w:rPr>
                <w:rFonts w:ascii="Times New Roman" w:hAnsi="Times New Roman"/>
                <w:sz w:val="22"/>
                <w:szCs w:val="22"/>
                <w:lang w:val="sr-Cyrl-RS"/>
              </w:rPr>
            </w:pPr>
          </w:p>
        </w:tc>
      </w:tr>
      <w:tr w:rsidR="00F91466" w:rsidRPr="00E00086" w14:paraId="3EC3A863" w14:textId="77777777" w:rsidTr="00C76D4C">
        <w:trPr>
          <w:trHeight w:val="600"/>
        </w:trPr>
        <w:tc>
          <w:tcPr>
            <w:tcW w:w="298" w:type="pct"/>
            <w:vMerge/>
            <w:tcBorders>
              <w:top w:val="nil"/>
              <w:left w:val="single" w:sz="4" w:space="0" w:color="auto"/>
              <w:bottom w:val="single" w:sz="4" w:space="0" w:color="auto"/>
              <w:right w:val="single" w:sz="4" w:space="0" w:color="auto"/>
            </w:tcBorders>
            <w:vAlign w:val="center"/>
            <w:hideMark/>
          </w:tcPr>
          <w:p w14:paraId="65B571C3" w14:textId="77777777" w:rsidR="00F91466" w:rsidRPr="00E00086" w:rsidRDefault="00F91466" w:rsidP="0047334A">
            <w:pPr>
              <w:rPr>
                <w:rFonts w:ascii="Times New Roman" w:hAnsi="Times New Roman"/>
                <w:color w:val="000000"/>
                <w:sz w:val="20"/>
                <w:lang w:val="sr-Cyrl-RS"/>
              </w:rPr>
            </w:pPr>
          </w:p>
        </w:tc>
        <w:tc>
          <w:tcPr>
            <w:tcW w:w="1946" w:type="pct"/>
            <w:vMerge/>
            <w:tcBorders>
              <w:top w:val="nil"/>
              <w:left w:val="single" w:sz="4" w:space="0" w:color="auto"/>
              <w:bottom w:val="single" w:sz="4" w:space="0" w:color="auto"/>
              <w:right w:val="single" w:sz="4" w:space="0" w:color="auto"/>
            </w:tcBorders>
            <w:vAlign w:val="center"/>
            <w:hideMark/>
          </w:tcPr>
          <w:p w14:paraId="7CDA2D9D" w14:textId="77777777" w:rsidR="00F91466" w:rsidRPr="00E00086" w:rsidRDefault="00F91466" w:rsidP="0047334A">
            <w:pPr>
              <w:rPr>
                <w:rFonts w:ascii="Times New Roman" w:hAnsi="Times New Roman"/>
                <w:color w:val="000000"/>
                <w:sz w:val="20"/>
                <w:lang w:val="sr-Cyrl-RS"/>
              </w:rPr>
            </w:pPr>
          </w:p>
        </w:tc>
        <w:tc>
          <w:tcPr>
            <w:tcW w:w="1851" w:type="pct"/>
            <w:tcBorders>
              <w:top w:val="nil"/>
              <w:left w:val="nil"/>
              <w:bottom w:val="single" w:sz="4" w:space="0" w:color="auto"/>
              <w:right w:val="single" w:sz="4" w:space="0" w:color="auto"/>
            </w:tcBorders>
            <w:shd w:val="clear" w:color="auto" w:fill="auto"/>
            <w:vAlign w:val="center"/>
            <w:hideMark/>
          </w:tcPr>
          <w:p w14:paraId="5914CFD4" w14:textId="218C8C03"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Суфинансирање реализације пројеката заштите и очувања животне средине</w:t>
            </w:r>
            <w:r w:rsidR="00D61C4A"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center"/>
            <w:hideMark/>
          </w:tcPr>
          <w:p w14:paraId="0E75D228"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1.692.448.000</w:t>
            </w:r>
          </w:p>
        </w:tc>
        <w:tc>
          <w:tcPr>
            <w:tcW w:w="105" w:type="pct"/>
            <w:vAlign w:val="center"/>
            <w:hideMark/>
          </w:tcPr>
          <w:p w14:paraId="590C0FB6" w14:textId="77777777" w:rsidR="00F91466" w:rsidRPr="00E00086" w:rsidRDefault="00F91466" w:rsidP="0047334A">
            <w:pPr>
              <w:rPr>
                <w:rFonts w:ascii="Times New Roman" w:hAnsi="Times New Roman"/>
                <w:sz w:val="22"/>
                <w:szCs w:val="22"/>
                <w:lang w:val="sr-Cyrl-RS"/>
              </w:rPr>
            </w:pPr>
          </w:p>
        </w:tc>
      </w:tr>
      <w:tr w:rsidR="00F91466" w:rsidRPr="00E00086" w14:paraId="4E176E8C" w14:textId="77777777" w:rsidTr="00C76D4C">
        <w:trPr>
          <w:trHeight w:val="600"/>
        </w:trPr>
        <w:tc>
          <w:tcPr>
            <w:tcW w:w="298" w:type="pct"/>
            <w:tcBorders>
              <w:top w:val="nil"/>
              <w:left w:val="single" w:sz="4" w:space="0" w:color="auto"/>
              <w:bottom w:val="single" w:sz="4" w:space="0" w:color="auto"/>
              <w:right w:val="single" w:sz="4" w:space="0" w:color="auto"/>
            </w:tcBorders>
            <w:shd w:val="clear" w:color="000000" w:fill="FFFFFF"/>
            <w:vAlign w:val="center"/>
            <w:hideMark/>
          </w:tcPr>
          <w:p w14:paraId="731FADB0"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lastRenderedPageBreak/>
              <w:t>19</w:t>
            </w:r>
          </w:p>
        </w:tc>
        <w:tc>
          <w:tcPr>
            <w:tcW w:w="1946" w:type="pct"/>
            <w:tcBorders>
              <w:top w:val="nil"/>
              <w:left w:val="nil"/>
              <w:bottom w:val="single" w:sz="4" w:space="0" w:color="auto"/>
              <w:right w:val="single" w:sz="4" w:space="0" w:color="auto"/>
            </w:tcBorders>
            <w:shd w:val="clear" w:color="000000" w:fill="FFFFFF"/>
            <w:vAlign w:val="center"/>
            <w:hideMark/>
          </w:tcPr>
          <w:p w14:paraId="21571CF8"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просвете</w:t>
            </w:r>
          </w:p>
        </w:tc>
        <w:tc>
          <w:tcPr>
            <w:tcW w:w="1851" w:type="pct"/>
            <w:tcBorders>
              <w:top w:val="nil"/>
              <w:left w:val="nil"/>
              <w:bottom w:val="single" w:sz="4" w:space="0" w:color="auto"/>
              <w:right w:val="single" w:sz="4" w:space="0" w:color="auto"/>
            </w:tcBorders>
            <w:shd w:val="clear" w:color="000000" w:fill="FFFFFF"/>
            <w:vAlign w:val="center"/>
            <w:hideMark/>
          </w:tcPr>
          <w:p w14:paraId="25FF1C74" w14:textId="4F2A36FE"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Расходи за запослене у основном и средњем образовању, ученичком стандарду, вишем и универзитетском образовању и студентском стандарду</w:t>
            </w:r>
            <w:r w:rsidR="00D61C4A"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000000" w:fill="FFFFFF"/>
            <w:noWrap/>
            <w:vAlign w:val="center"/>
            <w:hideMark/>
          </w:tcPr>
          <w:p w14:paraId="46F3571F"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58.700.000.000</w:t>
            </w:r>
          </w:p>
        </w:tc>
        <w:tc>
          <w:tcPr>
            <w:tcW w:w="105" w:type="pct"/>
            <w:vAlign w:val="center"/>
            <w:hideMark/>
          </w:tcPr>
          <w:p w14:paraId="006216F5" w14:textId="77777777" w:rsidR="00F91466" w:rsidRPr="00E00086" w:rsidRDefault="00F91466" w:rsidP="0047334A">
            <w:pPr>
              <w:rPr>
                <w:rFonts w:ascii="Times New Roman" w:hAnsi="Times New Roman"/>
                <w:sz w:val="22"/>
                <w:szCs w:val="22"/>
                <w:lang w:val="sr-Cyrl-RS"/>
              </w:rPr>
            </w:pPr>
          </w:p>
        </w:tc>
      </w:tr>
      <w:tr w:rsidR="00F91466" w:rsidRPr="00E00086" w14:paraId="0DB22019" w14:textId="77777777" w:rsidTr="00C76D4C">
        <w:trPr>
          <w:trHeight w:val="6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73F8DDE1"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20</w:t>
            </w:r>
          </w:p>
        </w:tc>
        <w:tc>
          <w:tcPr>
            <w:tcW w:w="1946" w:type="pct"/>
            <w:tcBorders>
              <w:top w:val="nil"/>
              <w:left w:val="nil"/>
              <w:bottom w:val="single" w:sz="4" w:space="0" w:color="auto"/>
              <w:right w:val="single" w:sz="4" w:space="0" w:color="auto"/>
            </w:tcBorders>
            <w:shd w:val="clear" w:color="auto" w:fill="auto"/>
            <w:vAlign w:val="center"/>
            <w:hideMark/>
          </w:tcPr>
          <w:p w14:paraId="2D64F3FB"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здравља</w:t>
            </w:r>
          </w:p>
        </w:tc>
        <w:tc>
          <w:tcPr>
            <w:tcW w:w="1851" w:type="pct"/>
            <w:tcBorders>
              <w:top w:val="nil"/>
              <w:left w:val="nil"/>
              <w:bottom w:val="single" w:sz="4" w:space="0" w:color="auto"/>
              <w:right w:val="single" w:sz="4" w:space="0" w:color="auto"/>
            </w:tcBorders>
            <w:shd w:val="clear" w:color="auto" w:fill="auto"/>
            <w:vAlign w:val="center"/>
            <w:hideMark/>
          </w:tcPr>
          <w:p w14:paraId="14F0A5C0" w14:textId="5B2C579E"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Финансијски кредити ЕИБ-а за реконструкцију Клиничког центра Војводине</w:t>
            </w:r>
            <w:r w:rsidR="00D61C4A"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center"/>
            <w:hideMark/>
          </w:tcPr>
          <w:p w14:paraId="6F1367C0"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3.455.600.000</w:t>
            </w:r>
          </w:p>
        </w:tc>
        <w:tc>
          <w:tcPr>
            <w:tcW w:w="105" w:type="pct"/>
            <w:vAlign w:val="center"/>
            <w:hideMark/>
          </w:tcPr>
          <w:p w14:paraId="56802902" w14:textId="77777777" w:rsidR="00F91466" w:rsidRPr="00E00086" w:rsidRDefault="00F91466" w:rsidP="0047334A">
            <w:pPr>
              <w:rPr>
                <w:rFonts w:ascii="Times New Roman" w:hAnsi="Times New Roman"/>
                <w:sz w:val="22"/>
                <w:szCs w:val="22"/>
                <w:lang w:val="sr-Cyrl-RS"/>
              </w:rPr>
            </w:pPr>
          </w:p>
        </w:tc>
      </w:tr>
      <w:tr w:rsidR="00F91466" w:rsidRPr="00E00086" w14:paraId="7626A3B9" w14:textId="77777777" w:rsidTr="00C76D4C">
        <w:trPr>
          <w:trHeight w:val="3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058627EB"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21</w:t>
            </w:r>
          </w:p>
        </w:tc>
        <w:tc>
          <w:tcPr>
            <w:tcW w:w="1946" w:type="pct"/>
            <w:tcBorders>
              <w:top w:val="nil"/>
              <w:left w:val="nil"/>
              <w:bottom w:val="single" w:sz="4" w:space="0" w:color="auto"/>
              <w:right w:val="single" w:sz="4" w:space="0" w:color="auto"/>
            </w:tcBorders>
            <w:shd w:val="clear" w:color="auto" w:fill="auto"/>
            <w:vAlign w:val="center"/>
            <w:hideMark/>
          </w:tcPr>
          <w:p w14:paraId="06B604C4"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 xml:space="preserve">Министарство културе </w:t>
            </w:r>
          </w:p>
        </w:tc>
        <w:tc>
          <w:tcPr>
            <w:tcW w:w="1851" w:type="pct"/>
            <w:tcBorders>
              <w:top w:val="nil"/>
              <w:left w:val="nil"/>
              <w:bottom w:val="single" w:sz="4" w:space="0" w:color="auto"/>
              <w:right w:val="single" w:sz="4" w:space="0" w:color="auto"/>
            </w:tcBorders>
            <w:shd w:val="clear" w:color="auto" w:fill="auto"/>
            <w:vAlign w:val="center"/>
            <w:hideMark/>
          </w:tcPr>
          <w:p w14:paraId="0FE194FE" w14:textId="6DEDFE5C"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 xml:space="preserve">Подршка раду Матице </w:t>
            </w:r>
            <w:r w:rsidR="00F73B9D" w:rsidRPr="00E00086">
              <w:rPr>
                <w:rFonts w:ascii="Times New Roman" w:hAnsi="Times New Roman"/>
                <w:color w:val="000000"/>
                <w:sz w:val="20"/>
                <w:lang w:val="sr-Cyrl-RS"/>
              </w:rPr>
              <w:t>с</w:t>
            </w:r>
            <w:r w:rsidRPr="00E00086">
              <w:rPr>
                <w:rFonts w:ascii="Times New Roman" w:hAnsi="Times New Roman"/>
                <w:color w:val="000000"/>
                <w:sz w:val="20"/>
                <w:lang w:val="sr-Cyrl-RS"/>
              </w:rPr>
              <w:t>рпске</w:t>
            </w:r>
            <w:r w:rsidR="00D61C4A"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vAlign w:val="center"/>
            <w:hideMark/>
          </w:tcPr>
          <w:p w14:paraId="5C1D9A2E"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71.000.000</w:t>
            </w:r>
          </w:p>
        </w:tc>
        <w:tc>
          <w:tcPr>
            <w:tcW w:w="105" w:type="pct"/>
            <w:vAlign w:val="center"/>
            <w:hideMark/>
          </w:tcPr>
          <w:p w14:paraId="76B0C29B" w14:textId="77777777" w:rsidR="00F91466" w:rsidRPr="00E00086" w:rsidRDefault="00F91466" w:rsidP="0047334A">
            <w:pPr>
              <w:rPr>
                <w:rFonts w:ascii="Times New Roman" w:hAnsi="Times New Roman"/>
                <w:sz w:val="22"/>
                <w:szCs w:val="22"/>
                <w:lang w:val="sr-Cyrl-RS"/>
              </w:rPr>
            </w:pPr>
          </w:p>
        </w:tc>
      </w:tr>
      <w:tr w:rsidR="00F91466" w:rsidRPr="00E00086" w14:paraId="4DBFE47F" w14:textId="77777777" w:rsidTr="00C76D4C">
        <w:trPr>
          <w:trHeight w:val="6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4363F44E"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22</w:t>
            </w:r>
          </w:p>
        </w:tc>
        <w:tc>
          <w:tcPr>
            <w:tcW w:w="1946" w:type="pct"/>
            <w:tcBorders>
              <w:top w:val="nil"/>
              <w:left w:val="nil"/>
              <w:bottom w:val="single" w:sz="4" w:space="0" w:color="auto"/>
              <w:right w:val="single" w:sz="4" w:space="0" w:color="auto"/>
            </w:tcBorders>
            <w:shd w:val="clear" w:color="auto" w:fill="auto"/>
            <w:vAlign w:val="center"/>
            <w:hideMark/>
          </w:tcPr>
          <w:p w14:paraId="6CA0372A"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за рад, запошљавање, борачка и социјална питања</w:t>
            </w:r>
          </w:p>
        </w:tc>
        <w:tc>
          <w:tcPr>
            <w:tcW w:w="1851" w:type="pct"/>
            <w:tcBorders>
              <w:top w:val="nil"/>
              <w:left w:val="nil"/>
              <w:bottom w:val="single" w:sz="4" w:space="0" w:color="auto"/>
              <w:right w:val="single" w:sz="4" w:space="0" w:color="auto"/>
            </w:tcBorders>
            <w:shd w:val="clear" w:color="auto" w:fill="auto"/>
            <w:vAlign w:val="center"/>
            <w:hideMark/>
          </w:tcPr>
          <w:p w14:paraId="59713680"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Закон о социјалној заштити.</w:t>
            </w:r>
          </w:p>
        </w:tc>
        <w:tc>
          <w:tcPr>
            <w:tcW w:w="801" w:type="pct"/>
            <w:tcBorders>
              <w:top w:val="nil"/>
              <w:left w:val="nil"/>
              <w:bottom w:val="single" w:sz="4" w:space="0" w:color="auto"/>
              <w:right w:val="single" w:sz="4" w:space="0" w:color="auto"/>
            </w:tcBorders>
            <w:shd w:val="clear" w:color="auto" w:fill="auto"/>
            <w:noWrap/>
            <w:vAlign w:val="center"/>
            <w:hideMark/>
          </w:tcPr>
          <w:p w14:paraId="6744AA3C"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146.870.000</w:t>
            </w:r>
          </w:p>
        </w:tc>
        <w:tc>
          <w:tcPr>
            <w:tcW w:w="105" w:type="pct"/>
            <w:vAlign w:val="center"/>
            <w:hideMark/>
          </w:tcPr>
          <w:p w14:paraId="5043A28D" w14:textId="77777777" w:rsidR="00F91466" w:rsidRPr="00E00086" w:rsidRDefault="00F91466" w:rsidP="0047334A">
            <w:pPr>
              <w:rPr>
                <w:rFonts w:ascii="Times New Roman" w:hAnsi="Times New Roman"/>
                <w:sz w:val="22"/>
                <w:szCs w:val="22"/>
                <w:lang w:val="sr-Cyrl-RS"/>
              </w:rPr>
            </w:pPr>
          </w:p>
        </w:tc>
      </w:tr>
      <w:tr w:rsidR="00F91466" w:rsidRPr="00E00086" w14:paraId="1CAE76A1" w14:textId="77777777" w:rsidTr="00C76D4C">
        <w:trPr>
          <w:trHeight w:val="3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55ADBDD8"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23</w:t>
            </w:r>
          </w:p>
        </w:tc>
        <w:tc>
          <w:tcPr>
            <w:tcW w:w="1946" w:type="pct"/>
            <w:tcBorders>
              <w:top w:val="nil"/>
              <w:left w:val="nil"/>
              <w:bottom w:val="single" w:sz="4" w:space="0" w:color="auto"/>
              <w:right w:val="single" w:sz="4" w:space="0" w:color="auto"/>
            </w:tcBorders>
            <w:shd w:val="clear" w:color="auto" w:fill="auto"/>
            <w:vAlign w:val="center"/>
            <w:hideMark/>
          </w:tcPr>
          <w:p w14:paraId="0558DBEB"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туризма и омладине</w:t>
            </w:r>
          </w:p>
        </w:tc>
        <w:tc>
          <w:tcPr>
            <w:tcW w:w="1851" w:type="pct"/>
            <w:tcBorders>
              <w:top w:val="nil"/>
              <w:left w:val="nil"/>
              <w:bottom w:val="single" w:sz="4" w:space="0" w:color="auto"/>
              <w:right w:val="single" w:sz="4" w:space="0" w:color="auto"/>
            </w:tcBorders>
            <w:shd w:val="clear" w:color="auto" w:fill="auto"/>
            <w:vAlign w:val="center"/>
            <w:hideMark/>
          </w:tcPr>
          <w:p w14:paraId="3CF96EAF"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Подршка раду „Парк Палић” д.о.о.</w:t>
            </w:r>
          </w:p>
        </w:tc>
        <w:tc>
          <w:tcPr>
            <w:tcW w:w="801" w:type="pct"/>
            <w:tcBorders>
              <w:top w:val="nil"/>
              <w:left w:val="nil"/>
              <w:bottom w:val="single" w:sz="4" w:space="0" w:color="auto"/>
              <w:right w:val="single" w:sz="4" w:space="0" w:color="auto"/>
            </w:tcBorders>
            <w:shd w:val="clear" w:color="auto" w:fill="auto"/>
            <w:noWrap/>
            <w:vAlign w:val="center"/>
            <w:hideMark/>
          </w:tcPr>
          <w:p w14:paraId="4817FEC6"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10.000.000</w:t>
            </w:r>
          </w:p>
        </w:tc>
        <w:tc>
          <w:tcPr>
            <w:tcW w:w="105" w:type="pct"/>
            <w:vAlign w:val="center"/>
            <w:hideMark/>
          </w:tcPr>
          <w:p w14:paraId="5B95CB8B" w14:textId="77777777" w:rsidR="00F91466" w:rsidRPr="00E00086" w:rsidRDefault="00F91466" w:rsidP="0047334A">
            <w:pPr>
              <w:rPr>
                <w:rFonts w:ascii="Times New Roman" w:hAnsi="Times New Roman"/>
                <w:sz w:val="22"/>
                <w:szCs w:val="22"/>
                <w:lang w:val="sr-Cyrl-RS"/>
              </w:rPr>
            </w:pPr>
          </w:p>
        </w:tc>
      </w:tr>
      <w:tr w:rsidR="00F91466" w:rsidRPr="00E00086" w14:paraId="28B8F900" w14:textId="77777777" w:rsidTr="00C76D4C">
        <w:trPr>
          <w:trHeight w:val="3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6C09BDE0"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24</w:t>
            </w:r>
          </w:p>
        </w:tc>
        <w:tc>
          <w:tcPr>
            <w:tcW w:w="1946" w:type="pct"/>
            <w:tcBorders>
              <w:top w:val="nil"/>
              <w:left w:val="nil"/>
              <w:bottom w:val="single" w:sz="4" w:space="0" w:color="auto"/>
              <w:right w:val="single" w:sz="4" w:space="0" w:color="auto"/>
            </w:tcBorders>
            <w:shd w:val="clear" w:color="auto" w:fill="auto"/>
            <w:vAlign w:val="center"/>
            <w:hideMark/>
          </w:tcPr>
          <w:p w14:paraId="4CC62DD7"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информисања и телекомуникација</w:t>
            </w:r>
          </w:p>
        </w:tc>
        <w:tc>
          <w:tcPr>
            <w:tcW w:w="1851" w:type="pct"/>
            <w:tcBorders>
              <w:top w:val="nil"/>
              <w:left w:val="nil"/>
              <w:bottom w:val="single" w:sz="4" w:space="0" w:color="auto"/>
              <w:right w:val="single" w:sz="4" w:space="0" w:color="auto"/>
            </w:tcBorders>
            <w:shd w:val="clear" w:color="auto" w:fill="auto"/>
            <w:vAlign w:val="center"/>
            <w:hideMark/>
          </w:tcPr>
          <w:p w14:paraId="69D9677F"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Пројектно финансирање јавних медијских сервиса (Радио-телевизија Војводине).</w:t>
            </w:r>
          </w:p>
        </w:tc>
        <w:tc>
          <w:tcPr>
            <w:tcW w:w="801" w:type="pct"/>
            <w:tcBorders>
              <w:top w:val="nil"/>
              <w:left w:val="nil"/>
              <w:bottom w:val="single" w:sz="4" w:space="0" w:color="auto"/>
              <w:right w:val="single" w:sz="4" w:space="0" w:color="auto"/>
            </w:tcBorders>
            <w:shd w:val="clear" w:color="auto" w:fill="auto"/>
            <w:noWrap/>
            <w:vAlign w:val="center"/>
            <w:hideMark/>
          </w:tcPr>
          <w:p w14:paraId="54645D89"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20.000.000</w:t>
            </w:r>
          </w:p>
        </w:tc>
        <w:tc>
          <w:tcPr>
            <w:tcW w:w="105" w:type="pct"/>
            <w:vAlign w:val="center"/>
            <w:hideMark/>
          </w:tcPr>
          <w:p w14:paraId="296527EA" w14:textId="77777777" w:rsidR="00F91466" w:rsidRPr="00E00086" w:rsidRDefault="00F91466" w:rsidP="0047334A">
            <w:pPr>
              <w:rPr>
                <w:rFonts w:ascii="Times New Roman" w:hAnsi="Times New Roman"/>
                <w:sz w:val="22"/>
                <w:szCs w:val="22"/>
                <w:lang w:val="sr-Cyrl-RS"/>
              </w:rPr>
            </w:pPr>
          </w:p>
        </w:tc>
      </w:tr>
      <w:tr w:rsidR="00F91466" w:rsidRPr="00E00086" w14:paraId="33343EB7" w14:textId="77777777" w:rsidTr="00C76D4C">
        <w:trPr>
          <w:trHeight w:val="3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5B35494B"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25</w:t>
            </w:r>
          </w:p>
        </w:tc>
        <w:tc>
          <w:tcPr>
            <w:tcW w:w="1946" w:type="pct"/>
            <w:tcBorders>
              <w:top w:val="nil"/>
              <w:left w:val="nil"/>
              <w:bottom w:val="single" w:sz="4" w:space="0" w:color="auto"/>
              <w:right w:val="single" w:sz="4" w:space="0" w:color="auto"/>
            </w:tcBorders>
            <w:shd w:val="clear" w:color="auto" w:fill="auto"/>
            <w:vAlign w:val="center"/>
            <w:hideMark/>
          </w:tcPr>
          <w:p w14:paraId="2649A959"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Министарство за јавна улагања</w:t>
            </w:r>
          </w:p>
        </w:tc>
        <w:tc>
          <w:tcPr>
            <w:tcW w:w="1851" w:type="pct"/>
            <w:tcBorders>
              <w:top w:val="nil"/>
              <w:left w:val="nil"/>
              <w:bottom w:val="single" w:sz="4" w:space="0" w:color="auto"/>
              <w:right w:val="single" w:sz="4" w:space="0" w:color="auto"/>
            </w:tcBorders>
            <w:shd w:val="clear" w:color="auto" w:fill="auto"/>
            <w:vAlign w:val="center"/>
            <w:hideMark/>
          </w:tcPr>
          <w:p w14:paraId="72F292C5"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Обнова и унапређење објеката јавне намене.</w:t>
            </w:r>
          </w:p>
        </w:tc>
        <w:tc>
          <w:tcPr>
            <w:tcW w:w="801" w:type="pct"/>
            <w:tcBorders>
              <w:top w:val="nil"/>
              <w:left w:val="nil"/>
              <w:bottom w:val="single" w:sz="4" w:space="0" w:color="auto"/>
              <w:right w:val="single" w:sz="4" w:space="0" w:color="auto"/>
            </w:tcBorders>
            <w:shd w:val="clear" w:color="auto" w:fill="auto"/>
            <w:noWrap/>
            <w:vAlign w:val="center"/>
            <w:hideMark/>
          </w:tcPr>
          <w:p w14:paraId="5EF58ECB"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1.500.000.000</w:t>
            </w:r>
          </w:p>
        </w:tc>
        <w:tc>
          <w:tcPr>
            <w:tcW w:w="105" w:type="pct"/>
            <w:vAlign w:val="center"/>
            <w:hideMark/>
          </w:tcPr>
          <w:p w14:paraId="0D73EC13" w14:textId="77777777" w:rsidR="00F91466" w:rsidRPr="00E00086" w:rsidRDefault="00F91466" w:rsidP="0047334A">
            <w:pPr>
              <w:rPr>
                <w:rFonts w:ascii="Times New Roman" w:hAnsi="Times New Roman"/>
                <w:sz w:val="22"/>
                <w:szCs w:val="22"/>
                <w:lang w:val="sr-Cyrl-RS"/>
              </w:rPr>
            </w:pPr>
          </w:p>
        </w:tc>
      </w:tr>
      <w:tr w:rsidR="00F91466" w:rsidRPr="00E00086" w14:paraId="75F37FD5" w14:textId="77777777" w:rsidTr="00C76D4C">
        <w:trPr>
          <w:trHeight w:val="6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7656B397" w14:textId="77777777" w:rsidR="00F91466" w:rsidRPr="00E00086" w:rsidRDefault="00F91466" w:rsidP="0047334A">
            <w:pPr>
              <w:jc w:val="center"/>
              <w:rPr>
                <w:rFonts w:ascii="Times New Roman" w:hAnsi="Times New Roman"/>
                <w:color w:val="000000"/>
                <w:sz w:val="20"/>
                <w:lang w:val="sr-Cyrl-RS"/>
              </w:rPr>
            </w:pPr>
            <w:r w:rsidRPr="00E00086">
              <w:rPr>
                <w:rFonts w:ascii="Times New Roman" w:hAnsi="Times New Roman"/>
                <w:color w:val="000000"/>
                <w:sz w:val="20"/>
                <w:lang w:val="sr-Cyrl-RS"/>
              </w:rPr>
              <w:t>26</w:t>
            </w:r>
          </w:p>
        </w:tc>
        <w:tc>
          <w:tcPr>
            <w:tcW w:w="1946" w:type="pct"/>
            <w:tcBorders>
              <w:top w:val="nil"/>
              <w:left w:val="nil"/>
              <w:bottom w:val="single" w:sz="4" w:space="0" w:color="auto"/>
              <w:right w:val="single" w:sz="4" w:space="0" w:color="auto"/>
            </w:tcBorders>
            <w:shd w:val="clear" w:color="auto" w:fill="auto"/>
            <w:vAlign w:val="center"/>
            <w:hideMark/>
          </w:tcPr>
          <w:p w14:paraId="7734A223"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Републичка дирекција за имовину Републике Србије</w:t>
            </w:r>
          </w:p>
        </w:tc>
        <w:tc>
          <w:tcPr>
            <w:tcW w:w="1851" w:type="pct"/>
            <w:tcBorders>
              <w:top w:val="nil"/>
              <w:left w:val="nil"/>
              <w:bottom w:val="single" w:sz="4" w:space="0" w:color="auto"/>
              <w:right w:val="single" w:sz="4" w:space="0" w:color="auto"/>
            </w:tcBorders>
            <w:shd w:val="clear" w:color="auto" w:fill="auto"/>
            <w:vAlign w:val="center"/>
            <w:hideMark/>
          </w:tcPr>
          <w:p w14:paraId="393D0357" w14:textId="66B0B353"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Изградња граничног прелаза Сремска Рача</w:t>
            </w:r>
            <w:r w:rsidR="00D61C4A" w:rsidRPr="00E00086">
              <w:rPr>
                <w:rFonts w:ascii="Times New Roman" w:hAnsi="Times New Roman"/>
                <w:color w:val="000000"/>
                <w:sz w:val="20"/>
                <w:lang w:val="sr-Cyrl-RS"/>
              </w:rPr>
              <w:t>.</w:t>
            </w:r>
          </w:p>
        </w:tc>
        <w:tc>
          <w:tcPr>
            <w:tcW w:w="801" w:type="pct"/>
            <w:tcBorders>
              <w:top w:val="nil"/>
              <w:left w:val="nil"/>
              <w:bottom w:val="single" w:sz="4" w:space="0" w:color="auto"/>
              <w:right w:val="single" w:sz="4" w:space="0" w:color="auto"/>
            </w:tcBorders>
            <w:shd w:val="clear" w:color="auto" w:fill="auto"/>
            <w:noWrap/>
            <w:vAlign w:val="center"/>
            <w:hideMark/>
          </w:tcPr>
          <w:p w14:paraId="74B5E65C" w14:textId="77777777" w:rsidR="00F91466" w:rsidRPr="00E00086" w:rsidRDefault="00F91466" w:rsidP="0047334A">
            <w:pPr>
              <w:jc w:val="right"/>
              <w:rPr>
                <w:rFonts w:ascii="Times New Roman" w:hAnsi="Times New Roman"/>
                <w:color w:val="000000"/>
                <w:sz w:val="22"/>
                <w:szCs w:val="22"/>
                <w:lang w:val="sr-Cyrl-RS"/>
              </w:rPr>
            </w:pPr>
            <w:r w:rsidRPr="00E00086">
              <w:rPr>
                <w:rFonts w:ascii="Times New Roman" w:hAnsi="Times New Roman"/>
                <w:color w:val="000000"/>
                <w:sz w:val="22"/>
                <w:szCs w:val="22"/>
                <w:lang w:val="sr-Cyrl-RS"/>
              </w:rPr>
              <w:t>2.500.000.000</w:t>
            </w:r>
          </w:p>
        </w:tc>
        <w:tc>
          <w:tcPr>
            <w:tcW w:w="105" w:type="pct"/>
            <w:vAlign w:val="center"/>
            <w:hideMark/>
          </w:tcPr>
          <w:p w14:paraId="01535BC0" w14:textId="77777777" w:rsidR="00F91466" w:rsidRPr="00E00086" w:rsidRDefault="00F91466" w:rsidP="0047334A">
            <w:pPr>
              <w:rPr>
                <w:rFonts w:ascii="Times New Roman" w:hAnsi="Times New Roman"/>
                <w:sz w:val="22"/>
                <w:szCs w:val="22"/>
                <w:lang w:val="sr-Cyrl-RS"/>
              </w:rPr>
            </w:pPr>
          </w:p>
        </w:tc>
      </w:tr>
      <w:tr w:rsidR="00F91466" w:rsidRPr="00E00086" w14:paraId="311CD362" w14:textId="77777777" w:rsidTr="00C76D4C">
        <w:trPr>
          <w:trHeight w:val="3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197BF93B" w14:textId="77777777" w:rsidR="00F91466" w:rsidRPr="00E00086" w:rsidRDefault="00F91466" w:rsidP="0047334A">
            <w:pPr>
              <w:jc w:val="center"/>
              <w:rPr>
                <w:rFonts w:ascii="Times New Roman" w:hAnsi="Times New Roman"/>
                <w:b/>
                <w:bCs/>
                <w:color w:val="000000"/>
                <w:sz w:val="20"/>
                <w:lang w:val="sr-Cyrl-RS"/>
              </w:rPr>
            </w:pPr>
            <w:r w:rsidRPr="00E00086">
              <w:rPr>
                <w:rFonts w:ascii="Times New Roman" w:hAnsi="Times New Roman"/>
                <w:b/>
                <w:bCs/>
                <w:color w:val="000000"/>
                <w:sz w:val="20"/>
                <w:lang w:val="sr-Cyrl-RS"/>
              </w:rPr>
              <w:t>II</w:t>
            </w:r>
          </w:p>
        </w:tc>
        <w:tc>
          <w:tcPr>
            <w:tcW w:w="1946" w:type="pct"/>
            <w:tcBorders>
              <w:top w:val="nil"/>
              <w:left w:val="nil"/>
              <w:bottom w:val="single" w:sz="4" w:space="0" w:color="auto"/>
              <w:right w:val="single" w:sz="4" w:space="0" w:color="auto"/>
            </w:tcBorders>
            <w:shd w:val="clear" w:color="auto" w:fill="auto"/>
            <w:noWrap/>
            <w:vAlign w:val="center"/>
            <w:hideMark/>
          </w:tcPr>
          <w:p w14:paraId="44150C33" w14:textId="77777777" w:rsidR="00F91466" w:rsidRPr="00E00086" w:rsidRDefault="00F91466" w:rsidP="0047334A">
            <w:pPr>
              <w:jc w:val="right"/>
              <w:rPr>
                <w:rFonts w:ascii="Times New Roman" w:hAnsi="Times New Roman"/>
                <w:b/>
                <w:bCs/>
                <w:color w:val="000000"/>
                <w:sz w:val="20"/>
                <w:lang w:val="sr-Cyrl-RS"/>
              </w:rPr>
            </w:pPr>
            <w:r w:rsidRPr="00E00086">
              <w:rPr>
                <w:rFonts w:ascii="Times New Roman" w:hAnsi="Times New Roman"/>
                <w:b/>
                <w:bCs/>
                <w:color w:val="000000"/>
                <w:sz w:val="20"/>
                <w:lang w:val="sr-Cyrl-RS"/>
              </w:rPr>
              <w:t>СВЕГА (од 11 до 26)</w:t>
            </w:r>
          </w:p>
        </w:tc>
        <w:tc>
          <w:tcPr>
            <w:tcW w:w="1851" w:type="pct"/>
            <w:tcBorders>
              <w:top w:val="nil"/>
              <w:left w:val="nil"/>
              <w:bottom w:val="single" w:sz="4" w:space="0" w:color="auto"/>
              <w:right w:val="single" w:sz="4" w:space="0" w:color="auto"/>
            </w:tcBorders>
            <w:shd w:val="clear" w:color="auto" w:fill="auto"/>
            <w:noWrap/>
            <w:vAlign w:val="center"/>
            <w:hideMark/>
          </w:tcPr>
          <w:p w14:paraId="7681CA1B" w14:textId="77777777" w:rsidR="00F91466" w:rsidRPr="00E00086" w:rsidRDefault="00F91466" w:rsidP="0047334A">
            <w:pPr>
              <w:rPr>
                <w:rFonts w:ascii="Times New Roman" w:hAnsi="Times New Roman"/>
                <w:color w:val="000000"/>
                <w:sz w:val="20"/>
                <w:lang w:val="sr-Cyrl-RS"/>
              </w:rPr>
            </w:pPr>
            <w:r w:rsidRPr="00E00086">
              <w:rPr>
                <w:rFonts w:ascii="Times New Roman" w:hAnsi="Times New Roman"/>
                <w:color w:val="000000"/>
                <w:sz w:val="20"/>
                <w:lang w:val="sr-Cyrl-RS"/>
              </w:rPr>
              <w:t> </w:t>
            </w:r>
          </w:p>
        </w:tc>
        <w:tc>
          <w:tcPr>
            <w:tcW w:w="801" w:type="pct"/>
            <w:tcBorders>
              <w:top w:val="nil"/>
              <w:left w:val="nil"/>
              <w:bottom w:val="single" w:sz="4" w:space="0" w:color="auto"/>
              <w:right w:val="single" w:sz="4" w:space="0" w:color="auto"/>
            </w:tcBorders>
            <w:shd w:val="clear" w:color="auto" w:fill="auto"/>
            <w:noWrap/>
            <w:vAlign w:val="center"/>
            <w:hideMark/>
          </w:tcPr>
          <w:p w14:paraId="6C3355E2" w14:textId="398F9C64" w:rsidR="00F91466" w:rsidRPr="00E00086" w:rsidRDefault="00F91466" w:rsidP="0047334A">
            <w:pPr>
              <w:jc w:val="right"/>
              <w:rPr>
                <w:rFonts w:ascii="Times New Roman" w:hAnsi="Times New Roman"/>
                <w:b/>
                <w:bCs/>
                <w:color w:val="000000"/>
                <w:sz w:val="22"/>
                <w:szCs w:val="22"/>
                <w:lang w:val="sr-Cyrl-RS"/>
              </w:rPr>
            </w:pPr>
            <w:r w:rsidRPr="00E00086">
              <w:rPr>
                <w:rFonts w:ascii="Times New Roman" w:hAnsi="Times New Roman"/>
                <w:b/>
                <w:bCs/>
                <w:color w:val="000000"/>
                <w:sz w:val="22"/>
                <w:szCs w:val="22"/>
                <w:lang w:val="sr-Cyrl-RS"/>
              </w:rPr>
              <w:t>159.8</w:t>
            </w:r>
            <w:r w:rsidR="00B05821">
              <w:rPr>
                <w:rFonts w:ascii="Times New Roman" w:hAnsi="Times New Roman"/>
                <w:b/>
                <w:bCs/>
                <w:color w:val="000000"/>
                <w:sz w:val="22"/>
                <w:szCs w:val="22"/>
                <w:lang w:val="sr-Cyrl-RS"/>
              </w:rPr>
              <w:t>68</w:t>
            </w:r>
            <w:r w:rsidRPr="00E00086">
              <w:rPr>
                <w:rFonts w:ascii="Times New Roman" w:hAnsi="Times New Roman"/>
                <w:b/>
                <w:bCs/>
                <w:color w:val="000000"/>
                <w:sz w:val="22"/>
                <w:szCs w:val="22"/>
                <w:lang w:val="sr-Cyrl-RS"/>
              </w:rPr>
              <w:t>.370.706</w:t>
            </w:r>
          </w:p>
        </w:tc>
        <w:tc>
          <w:tcPr>
            <w:tcW w:w="105" w:type="pct"/>
            <w:vAlign w:val="center"/>
            <w:hideMark/>
          </w:tcPr>
          <w:p w14:paraId="0872A47C" w14:textId="77777777" w:rsidR="00F91466" w:rsidRPr="00E00086" w:rsidRDefault="00F91466" w:rsidP="0047334A">
            <w:pPr>
              <w:rPr>
                <w:rFonts w:ascii="Times New Roman" w:hAnsi="Times New Roman"/>
                <w:sz w:val="22"/>
                <w:szCs w:val="22"/>
                <w:lang w:val="sr-Cyrl-RS"/>
              </w:rPr>
            </w:pPr>
          </w:p>
        </w:tc>
      </w:tr>
      <w:tr w:rsidR="00F91466" w:rsidRPr="00E00086" w14:paraId="6F5EA279" w14:textId="77777777" w:rsidTr="00C76D4C">
        <w:trPr>
          <w:trHeight w:val="300"/>
        </w:trPr>
        <w:tc>
          <w:tcPr>
            <w:tcW w:w="298" w:type="pct"/>
            <w:tcBorders>
              <w:top w:val="nil"/>
              <w:left w:val="single" w:sz="4" w:space="0" w:color="auto"/>
              <w:bottom w:val="single" w:sz="4" w:space="0" w:color="auto"/>
              <w:right w:val="single" w:sz="4" w:space="0" w:color="auto"/>
            </w:tcBorders>
            <w:shd w:val="clear" w:color="000000" w:fill="A6A6A6"/>
            <w:noWrap/>
            <w:vAlign w:val="center"/>
            <w:hideMark/>
          </w:tcPr>
          <w:p w14:paraId="39E62221" w14:textId="77777777" w:rsidR="00F91466" w:rsidRPr="00E00086" w:rsidRDefault="00F91466" w:rsidP="0047334A">
            <w:pPr>
              <w:jc w:val="center"/>
              <w:rPr>
                <w:rFonts w:ascii="Times New Roman" w:hAnsi="Times New Roman"/>
                <w:b/>
                <w:bCs/>
                <w:color w:val="000000"/>
                <w:sz w:val="20"/>
                <w:lang w:val="sr-Cyrl-RS"/>
              </w:rPr>
            </w:pPr>
            <w:r w:rsidRPr="00E00086">
              <w:rPr>
                <w:rFonts w:ascii="Times New Roman" w:hAnsi="Times New Roman"/>
                <w:b/>
                <w:bCs/>
                <w:color w:val="000000"/>
                <w:sz w:val="20"/>
                <w:lang w:val="sr-Cyrl-RS"/>
              </w:rPr>
              <w:t> </w:t>
            </w:r>
          </w:p>
        </w:tc>
        <w:tc>
          <w:tcPr>
            <w:tcW w:w="3797" w:type="pct"/>
            <w:gridSpan w:val="2"/>
            <w:tcBorders>
              <w:top w:val="single" w:sz="4" w:space="0" w:color="auto"/>
              <w:left w:val="nil"/>
              <w:bottom w:val="single" w:sz="4" w:space="0" w:color="auto"/>
              <w:right w:val="single" w:sz="4" w:space="0" w:color="auto"/>
            </w:tcBorders>
            <w:shd w:val="clear" w:color="000000" w:fill="A6A6A6"/>
            <w:noWrap/>
            <w:vAlign w:val="center"/>
            <w:hideMark/>
          </w:tcPr>
          <w:p w14:paraId="4CB8296C" w14:textId="77777777" w:rsidR="00F91466" w:rsidRPr="00E00086" w:rsidRDefault="00F91466" w:rsidP="0047334A">
            <w:pPr>
              <w:jc w:val="right"/>
              <w:rPr>
                <w:rFonts w:ascii="Times New Roman" w:hAnsi="Times New Roman"/>
                <w:b/>
                <w:bCs/>
                <w:color w:val="000000"/>
                <w:sz w:val="20"/>
                <w:lang w:val="sr-Cyrl-RS"/>
              </w:rPr>
            </w:pPr>
            <w:r w:rsidRPr="00E00086">
              <w:rPr>
                <w:rFonts w:ascii="Times New Roman" w:hAnsi="Times New Roman"/>
                <w:b/>
                <w:bCs/>
                <w:color w:val="000000"/>
                <w:sz w:val="20"/>
                <w:lang w:val="sr-Cyrl-RS"/>
              </w:rPr>
              <w:t>УКУПНО (I+II)  </w:t>
            </w:r>
          </w:p>
        </w:tc>
        <w:tc>
          <w:tcPr>
            <w:tcW w:w="801" w:type="pct"/>
            <w:tcBorders>
              <w:top w:val="nil"/>
              <w:left w:val="nil"/>
              <w:bottom w:val="single" w:sz="4" w:space="0" w:color="auto"/>
              <w:right w:val="single" w:sz="4" w:space="0" w:color="auto"/>
            </w:tcBorders>
            <w:shd w:val="clear" w:color="000000" w:fill="A6A6A6"/>
            <w:noWrap/>
            <w:vAlign w:val="center"/>
            <w:hideMark/>
          </w:tcPr>
          <w:p w14:paraId="501A017B" w14:textId="5FD971FE" w:rsidR="00F91466" w:rsidRPr="00E00086" w:rsidRDefault="00F91466" w:rsidP="0047334A">
            <w:pPr>
              <w:jc w:val="right"/>
              <w:rPr>
                <w:rFonts w:ascii="Times New Roman" w:hAnsi="Times New Roman"/>
                <w:b/>
                <w:bCs/>
                <w:color w:val="000000"/>
                <w:sz w:val="22"/>
                <w:szCs w:val="22"/>
                <w:lang w:val="sr-Cyrl-RS"/>
              </w:rPr>
            </w:pPr>
            <w:r w:rsidRPr="00E00086">
              <w:rPr>
                <w:rFonts w:ascii="Times New Roman" w:hAnsi="Times New Roman"/>
                <w:b/>
                <w:bCs/>
                <w:color w:val="000000"/>
                <w:sz w:val="22"/>
                <w:szCs w:val="22"/>
                <w:lang w:val="sr-Cyrl-RS"/>
              </w:rPr>
              <w:t>170.</w:t>
            </w:r>
            <w:r w:rsidR="003C076E">
              <w:rPr>
                <w:rFonts w:ascii="Times New Roman" w:hAnsi="Times New Roman"/>
                <w:b/>
                <w:bCs/>
                <w:color w:val="000000"/>
                <w:sz w:val="22"/>
                <w:szCs w:val="22"/>
                <w:lang w:val="sr-Cyrl-RS"/>
              </w:rPr>
              <w:t>224</w:t>
            </w:r>
            <w:r w:rsidRPr="00E00086">
              <w:rPr>
                <w:rFonts w:ascii="Times New Roman" w:hAnsi="Times New Roman"/>
                <w:b/>
                <w:bCs/>
                <w:color w:val="000000"/>
                <w:sz w:val="22"/>
                <w:szCs w:val="22"/>
                <w:lang w:val="sr-Cyrl-RS"/>
              </w:rPr>
              <w:t>.824.444</w:t>
            </w:r>
          </w:p>
        </w:tc>
        <w:tc>
          <w:tcPr>
            <w:tcW w:w="105" w:type="pct"/>
            <w:vAlign w:val="center"/>
            <w:hideMark/>
          </w:tcPr>
          <w:p w14:paraId="10B79F15" w14:textId="77777777" w:rsidR="00F91466" w:rsidRPr="00E00086" w:rsidRDefault="00F91466" w:rsidP="0047334A">
            <w:pPr>
              <w:rPr>
                <w:rFonts w:ascii="Times New Roman" w:hAnsi="Times New Roman"/>
                <w:sz w:val="22"/>
                <w:szCs w:val="22"/>
                <w:lang w:val="sr-Cyrl-RS"/>
              </w:rPr>
            </w:pPr>
          </w:p>
        </w:tc>
      </w:tr>
      <w:bookmarkEnd w:id="2"/>
    </w:tbl>
    <w:p w14:paraId="1BD5EC92" w14:textId="7055E058" w:rsidR="00675C3D" w:rsidRPr="00E00086" w:rsidRDefault="00675C3D" w:rsidP="00827361">
      <w:pPr>
        <w:tabs>
          <w:tab w:val="left" w:pos="720"/>
        </w:tabs>
        <w:outlineLvl w:val="0"/>
        <w:rPr>
          <w:rFonts w:ascii="Times New Roman" w:hAnsi="Times New Roman"/>
          <w:szCs w:val="24"/>
          <w:lang w:val="sr-Cyrl-RS"/>
        </w:rPr>
      </w:pPr>
    </w:p>
    <w:p w14:paraId="7F3AD78E" w14:textId="014BC767" w:rsidR="00E76809" w:rsidRPr="00E00086" w:rsidRDefault="00F33D49" w:rsidP="00827361">
      <w:pPr>
        <w:tabs>
          <w:tab w:val="left" w:pos="720"/>
        </w:tabs>
        <w:outlineLvl w:val="0"/>
        <w:rPr>
          <w:rStyle w:val="CharCharChar5"/>
          <w:rFonts w:ascii="Times New Roman" w:hAnsi="Times New Roman"/>
          <w:szCs w:val="24"/>
          <w:lang w:val="sr-Cyrl-RS"/>
        </w:rPr>
      </w:pPr>
      <w:r w:rsidRPr="00E00086">
        <w:rPr>
          <w:rStyle w:val="CharCharChar5"/>
          <w:rFonts w:ascii="Times New Roman" w:hAnsi="Times New Roman"/>
          <w:szCs w:val="24"/>
          <w:lang w:val="sr-Cyrl-RS"/>
        </w:rPr>
        <w:tab/>
      </w:r>
      <w:r w:rsidR="007104F0" w:rsidRPr="00E00086">
        <w:rPr>
          <w:rStyle w:val="CharCharChar5"/>
          <w:rFonts w:ascii="Times New Roman" w:hAnsi="Times New Roman"/>
          <w:szCs w:val="24"/>
          <w:lang w:val="sr-Cyrl-RS"/>
        </w:rPr>
        <w:t>У складу са Законом о финансирању локалне самоуправе утврђен је годишњи износ укупног ненаменског трансфера, који се распоређује јединицама локалне самоуправе, у укупном износу од</w:t>
      </w:r>
      <w:r w:rsidR="001D6C5D" w:rsidRPr="00E00086">
        <w:rPr>
          <w:rStyle w:val="CharCharChar5"/>
          <w:rFonts w:ascii="Times New Roman" w:hAnsi="Times New Roman"/>
          <w:szCs w:val="24"/>
          <w:lang w:val="sr-Cyrl-RS"/>
        </w:rPr>
        <w:t xml:space="preserve"> 33,3 млрд</w:t>
      </w:r>
      <w:r w:rsidR="007104F0" w:rsidRPr="00E00086">
        <w:rPr>
          <w:rStyle w:val="CharCharChar5"/>
          <w:rFonts w:ascii="Times New Roman" w:hAnsi="Times New Roman"/>
          <w:szCs w:val="24"/>
          <w:lang w:val="sr-Cyrl-RS"/>
        </w:rPr>
        <w:t xml:space="preserve"> динара</w:t>
      </w:r>
      <w:r w:rsidR="003553BC" w:rsidRPr="00E00086">
        <w:rPr>
          <w:rStyle w:val="CharCharChar5"/>
          <w:rFonts w:ascii="Times New Roman" w:hAnsi="Times New Roman"/>
          <w:szCs w:val="24"/>
          <w:lang w:val="sr-Cyrl-RS"/>
        </w:rPr>
        <w:t>.</w:t>
      </w:r>
    </w:p>
    <w:p w14:paraId="416982DE" w14:textId="7F3AB0E5" w:rsidR="00493E41" w:rsidRPr="00E00086" w:rsidRDefault="004467A9" w:rsidP="008C16FD">
      <w:pPr>
        <w:rPr>
          <w:rFonts w:ascii="Times New Roman" w:hAnsi="Times New Roman"/>
          <w:szCs w:val="24"/>
          <w:lang w:val="sr-Cyrl-RS"/>
        </w:rPr>
      </w:pPr>
      <w:r w:rsidRPr="00E00086">
        <w:rPr>
          <w:rStyle w:val="CharCharChar5"/>
          <w:rFonts w:ascii="Times New Roman" w:hAnsi="Times New Roman"/>
          <w:szCs w:val="24"/>
          <w:lang w:val="sr-Cyrl-RS"/>
        </w:rPr>
        <w:tab/>
      </w:r>
      <w:r w:rsidRPr="00F61DD8">
        <w:rPr>
          <w:rStyle w:val="CharCharChar5"/>
          <w:rFonts w:ascii="Times New Roman" w:hAnsi="Times New Roman"/>
          <w:szCs w:val="24"/>
          <w:lang w:val="sr-Cyrl-RS"/>
        </w:rPr>
        <w:t>Остали трансфери (наменски) планирани су</w:t>
      </w:r>
      <w:r w:rsidR="00035478" w:rsidRPr="00F61DD8">
        <w:rPr>
          <w:rStyle w:val="CharCharChar5"/>
          <w:rFonts w:ascii="Times New Roman" w:hAnsi="Times New Roman"/>
          <w:szCs w:val="24"/>
          <w:lang w:val="sr-Cyrl-RS"/>
        </w:rPr>
        <w:t xml:space="preserve"> за</w:t>
      </w:r>
      <w:r w:rsidR="00975661" w:rsidRPr="00F61DD8">
        <w:rPr>
          <w:rStyle w:val="CharCharChar5"/>
          <w:rFonts w:ascii="Times New Roman" w:hAnsi="Times New Roman"/>
          <w:szCs w:val="24"/>
          <w:lang w:val="sr-Cyrl-RS"/>
        </w:rPr>
        <w:t>:</w:t>
      </w:r>
      <w:r w:rsidR="00035478" w:rsidRPr="00F61DD8">
        <w:rPr>
          <w:rStyle w:val="CharCharChar5"/>
          <w:rFonts w:ascii="Times New Roman" w:hAnsi="Times New Roman"/>
          <w:szCs w:val="24"/>
          <w:lang w:val="sr-Cyrl-RS"/>
        </w:rPr>
        <w:t xml:space="preserve"> </w:t>
      </w:r>
      <w:r w:rsidR="00CC0BEF" w:rsidRPr="00F61DD8">
        <w:rPr>
          <w:rStyle w:val="CharCharChar5"/>
          <w:rFonts w:ascii="Times New Roman" w:hAnsi="Times New Roman"/>
          <w:szCs w:val="24"/>
          <w:lang w:val="sr-Cyrl-RS"/>
        </w:rPr>
        <w:t>подршк</w:t>
      </w:r>
      <w:r w:rsidR="00F27604" w:rsidRPr="00F61DD8">
        <w:rPr>
          <w:rStyle w:val="CharCharChar5"/>
          <w:rFonts w:ascii="Times New Roman" w:hAnsi="Times New Roman"/>
          <w:szCs w:val="24"/>
          <w:lang w:val="sr-Cyrl-RS"/>
        </w:rPr>
        <w:t>у</w:t>
      </w:r>
      <w:r w:rsidR="00CC0BEF" w:rsidRPr="00F61DD8">
        <w:rPr>
          <w:rStyle w:val="CharCharChar5"/>
          <w:rFonts w:ascii="Times New Roman" w:hAnsi="Times New Roman"/>
          <w:szCs w:val="24"/>
          <w:lang w:val="sr-Cyrl-RS"/>
        </w:rPr>
        <w:t xml:space="preserve"> функционисању установа и организација на територији АП Косово и Метохија </w:t>
      </w:r>
      <w:r w:rsidR="0071189C" w:rsidRPr="00F61DD8">
        <w:rPr>
          <w:rStyle w:val="CharCharChar5"/>
          <w:rFonts w:ascii="Times New Roman" w:hAnsi="Times New Roman"/>
          <w:szCs w:val="24"/>
          <w:lang w:val="sr-Cyrl-RS"/>
        </w:rPr>
        <w:t xml:space="preserve">као и за изградњу и реконструкцију стамбених објеката </w:t>
      </w:r>
      <w:r w:rsidR="00035478" w:rsidRPr="00F61DD8">
        <w:rPr>
          <w:rStyle w:val="CharCharChar5"/>
          <w:rFonts w:ascii="Times New Roman" w:hAnsi="Times New Roman"/>
          <w:szCs w:val="24"/>
          <w:lang w:val="sr-Cyrl-RS"/>
        </w:rPr>
        <w:t xml:space="preserve">на територији АП Косово и Метохија, </w:t>
      </w:r>
      <w:r w:rsidR="00CC0BEF" w:rsidRPr="00F61DD8">
        <w:rPr>
          <w:rStyle w:val="CharCharChar5"/>
          <w:rFonts w:ascii="Times New Roman" w:hAnsi="Times New Roman"/>
          <w:szCs w:val="24"/>
          <w:lang w:val="sr-Cyrl-RS"/>
        </w:rPr>
        <w:t>пројекат развоја локалне инфраструктуре и институционалног јачања локалних самоуправа; изградњ</w:t>
      </w:r>
      <w:r w:rsidR="00F27604" w:rsidRPr="00F61DD8">
        <w:rPr>
          <w:rStyle w:val="CharCharChar5"/>
          <w:rFonts w:ascii="Times New Roman" w:hAnsi="Times New Roman"/>
          <w:szCs w:val="24"/>
          <w:lang w:val="sr-Cyrl-RS"/>
        </w:rPr>
        <w:t>у</w:t>
      </w:r>
      <w:r w:rsidR="00CC0BEF" w:rsidRPr="00F61DD8">
        <w:rPr>
          <w:rStyle w:val="CharCharChar5"/>
          <w:rFonts w:ascii="Times New Roman" w:hAnsi="Times New Roman"/>
          <w:szCs w:val="24"/>
          <w:lang w:val="sr-Cyrl-RS"/>
        </w:rPr>
        <w:t xml:space="preserve"> београдског</w:t>
      </w:r>
      <w:r w:rsidR="00CC0BEF" w:rsidRPr="00E00086">
        <w:rPr>
          <w:rStyle w:val="CharCharChar5"/>
          <w:rFonts w:ascii="Times New Roman" w:hAnsi="Times New Roman"/>
          <w:szCs w:val="24"/>
          <w:lang w:val="sr-Cyrl-RS"/>
        </w:rPr>
        <w:t xml:space="preserve"> метроа;</w:t>
      </w:r>
      <w:r w:rsidR="00CC0BEF" w:rsidRPr="00E00086">
        <w:rPr>
          <w:rFonts w:ascii="Times New Roman" w:hAnsi="Times New Roman"/>
          <w:lang w:val="sr-Cyrl-RS"/>
        </w:rPr>
        <w:t xml:space="preserve"> реализациј</w:t>
      </w:r>
      <w:r w:rsidR="00F27604" w:rsidRPr="00E00086">
        <w:rPr>
          <w:rFonts w:ascii="Times New Roman" w:hAnsi="Times New Roman"/>
          <w:lang w:val="sr-Cyrl-RS"/>
        </w:rPr>
        <w:t>у</w:t>
      </w:r>
      <w:r w:rsidR="00CC0BEF" w:rsidRPr="00E00086">
        <w:rPr>
          <w:rFonts w:ascii="Times New Roman" w:hAnsi="Times New Roman"/>
          <w:lang w:val="sr-Cyrl-RS"/>
        </w:rPr>
        <w:t xml:space="preserve"> четворочасовног припремног предшколског програма</w:t>
      </w:r>
      <w:r w:rsidR="00CC0BEF" w:rsidRPr="00E00086">
        <w:rPr>
          <w:rFonts w:ascii="Times New Roman" w:hAnsi="Times New Roman"/>
          <w:color w:val="000000"/>
          <w:szCs w:val="24"/>
          <w:lang w:val="sr-Cyrl-RS"/>
        </w:rPr>
        <w:t>;</w:t>
      </w:r>
      <w:r w:rsidR="00CC0BEF" w:rsidRPr="00E00086">
        <w:rPr>
          <w:rStyle w:val="CharCharChar5"/>
          <w:rFonts w:ascii="Times New Roman" w:hAnsi="Times New Roman"/>
          <w:szCs w:val="24"/>
          <w:lang w:val="sr-Cyrl-RS"/>
        </w:rPr>
        <w:t xml:space="preserve"> </w:t>
      </w:r>
      <w:r w:rsidR="0084707F" w:rsidRPr="00E00086">
        <w:rPr>
          <w:rStyle w:val="CharCharChar5"/>
          <w:rFonts w:ascii="Times New Roman" w:hAnsi="Times New Roman"/>
          <w:szCs w:val="24"/>
          <w:lang w:val="sr-Cyrl-RS"/>
        </w:rPr>
        <w:t>подршк</w:t>
      </w:r>
      <w:r w:rsidR="00F27604" w:rsidRPr="00E00086">
        <w:rPr>
          <w:rStyle w:val="CharCharChar5"/>
          <w:rFonts w:ascii="Times New Roman" w:hAnsi="Times New Roman"/>
          <w:szCs w:val="24"/>
          <w:lang w:val="sr-Cyrl-RS"/>
        </w:rPr>
        <w:t>у</w:t>
      </w:r>
      <w:r w:rsidR="0084707F" w:rsidRPr="00E00086">
        <w:rPr>
          <w:rStyle w:val="CharCharChar5"/>
          <w:rFonts w:ascii="Times New Roman" w:hAnsi="Times New Roman"/>
          <w:szCs w:val="24"/>
          <w:lang w:val="sr-Cyrl-RS"/>
        </w:rPr>
        <w:t xml:space="preserve"> унапређењ</w:t>
      </w:r>
      <w:r w:rsidR="00170D31" w:rsidRPr="00E00086">
        <w:rPr>
          <w:rStyle w:val="CharCharChar5"/>
          <w:rFonts w:ascii="Times New Roman" w:hAnsi="Times New Roman"/>
          <w:szCs w:val="24"/>
          <w:lang w:val="sr-Cyrl-RS"/>
        </w:rPr>
        <w:t>у</w:t>
      </w:r>
      <w:r w:rsidR="0084707F" w:rsidRPr="00E00086">
        <w:rPr>
          <w:rStyle w:val="CharCharChar5"/>
          <w:rFonts w:ascii="Times New Roman" w:hAnsi="Times New Roman"/>
          <w:szCs w:val="24"/>
          <w:lang w:val="sr-Cyrl-RS"/>
        </w:rPr>
        <w:t xml:space="preserve"> безбедности саобраћаја, </w:t>
      </w:r>
      <w:r w:rsidR="00CC0BEF" w:rsidRPr="00E00086">
        <w:rPr>
          <w:rStyle w:val="CharCharChar5"/>
          <w:rFonts w:ascii="Times New Roman" w:hAnsi="Times New Roman"/>
          <w:szCs w:val="24"/>
          <w:lang w:val="sr-Cyrl-RS"/>
        </w:rPr>
        <w:t>спровођење програма интегралног развоја Србије; затварање несанитарних депонија; изградњ</w:t>
      </w:r>
      <w:r w:rsidR="00F27604" w:rsidRPr="00E00086">
        <w:rPr>
          <w:rStyle w:val="CharCharChar5"/>
          <w:rFonts w:ascii="Times New Roman" w:hAnsi="Times New Roman"/>
          <w:szCs w:val="24"/>
          <w:lang w:val="sr-Cyrl-RS"/>
        </w:rPr>
        <w:t>у</w:t>
      </w:r>
      <w:r w:rsidR="00CC0BEF" w:rsidRPr="00E00086">
        <w:rPr>
          <w:rStyle w:val="CharCharChar5"/>
          <w:rFonts w:ascii="Times New Roman" w:hAnsi="Times New Roman"/>
          <w:szCs w:val="24"/>
          <w:lang w:val="sr-Cyrl-RS"/>
        </w:rPr>
        <w:t xml:space="preserve"> система управљања отпадом;</w:t>
      </w:r>
      <w:r w:rsidR="00035478" w:rsidRPr="00E00086">
        <w:rPr>
          <w:rStyle w:val="CharCharChar5"/>
          <w:rFonts w:ascii="Times New Roman" w:hAnsi="Times New Roman"/>
          <w:szCs w:val="24"/>
          <w:lang w:val="sr-Cyrl-RS"/>
        </w:rPr>
        <w:t xml:space="preserve"> спровођење мера за унапређење енергетске ефикасности, финансирање основне делатности јавних медијских сервиса - Радио-телевизија Војводине</w:t>
      </w:r>
      <w:r w:rsidR="0071189C" w:rsidRPr="00E00086">
        <w:rPr>
          <w:rStyle w:val="CharCharChar5"/>
          <w:rFonts w:ascii="Times New Roman" w:hAnsi="Times New Roman"/>
          <w:szCs w:val="24"/>
          <w:lang w:val="sr-Cyrl-RS"/>
        </w:rPr>
        <w:t>; подстицај</w:t>
      </w:r>
      <w:r w:rsidR="00F27604" w:rsidRPr="00E00086">
        <w:rPr>
          <w:rStyle w:val="CharCharChar5"/>
          <w:rFonts w:ascii="Times New Roman" w:hAnsi="Times New Roman"/>
          <w:szCs w:val="24"/>
          <w:lang w:val="sr-Cyrl-RS"/>
        </w:rPr>
        <w:t>е</w:t>
      </w:r>
      <w:r w:rsidR="0071189C" w:rsidRPr="00E00086">
        <w:rPr>
          <w:rStyle w:val="CharCharChar5"/>
          <w:rFonts w:ascii="Times New Roman" w:hAnsi="Times New Roman"/>
          <w:szCs w:val="24"/>
          <w:lang w:val="sr-Cyrl-RS"/>
        </w:rPr>
        <w:t xml:space="preserve"> за изградњу инфраструктуре и супраструктуре у туристичким дестинацијама</w:t>
      </w:r>
      <w:r w:rsidR="00CC0BEF" w:rsidRPr="00E00086">
        <w:rPr>
          <w:rStyle w:val="CharCharChar5"/>
          <w:rFonts w:ascii="Times New Roman" w:hAnsi="Times New Roman"/>
          <w:szCs w:val="24"/>
          <w:lang w:val="sr-Cyrl-RS"/>
        </w:rPr>
        <w:t>;</w:t>
      </w:r>
      <w:r w:rsidR="00AE106F" w:rsidRPr="00E00086">
        <w:rPr>
          <w:rStyle w:val="CharCharChar5"/>
          <w:rFonts w:ascii="Times New Roman" w:hAnsi="Times New Roman"/>
          <w:szCs w:val="24"/>
          <w:lang w:val="sr-Cyrl-RS"/>
        </w:rPr>
        <w:t xml:space="preserve"> </w:t>
      </w:r>
      <w:r w:rsidR="00CC0BEF" w:rsidRPr="00E00086">
        <w:rPr>
          <w:rStyle w:val="CharCharChar5"/>
          <w:rFonts w:ascii="Times New Roman" w:hAnsi="Times New Roman"/>
          <w:szCs w:val="24"/>
          <w:lang w:val="sr-Cyrl-RS"/>
        </w:rPr>
        <w:t>подршк</w:t>
      </w:r>
      <w:r w:rsidR="00F27604" w:rsidRPr="00E00086">
        <w:rPr>
          <w:rStyle w:val="CharCharChar5"/>
          <w:rFonts w:ascii="Times New Roman" w:hAnsi="Times New Roman"/>
          <w:szCs w:val="24"/>
          <w:lang w:val="sr-Cyrl-RS"/>
        </w:rPr>
        <w:t>у</w:t>
      </w:r>
      <w:r w:rsidR="00CC0BEF" w:rsidRPr="00E00086">
        <w:rPr>
          <w:rStyle w:val="CharCharChar5"/>
          <w:rFonts w:ascii="Times New Roman" w:hAnsi="Times New Roman"/>
          <w:szCs w:val="24"/>
          <w:lang w:val="sr-Cyrl-RS"/>
        </w:rPr>
        <w:t xml:space="preserve"> куповини сеоских кућа са окућницом и др.</w:t>
      </w:r>
    </w:p>
    <w:p w14:paraId="0EF1B4D1" w14:textId="4A026775" w:rsidR="00770C69" w:rsidRPr="00E00086" w:rsidRDefault="00FC5C6B" w:rsidP="00770C69">
      <w:pPr>
        <w:tabs>
          <w:tab w:val="left" w:pos="900"/>
        </w:tabs>
        <w:rPr>
          <w:rFonts w:ascii="Times New Roman" w:hAnsi="Times New Roman"/>
          <w:szCs w:val="24"/>
          <w:lang w:val="sr-Cyrl-RS"/>
        </w:rPr>
      </w:pPr>
      <w:r w:rsidRPr="00E00086">
        <w:rPr>
          <w:rStyle w:val="CharCharChar5"/>
          <w:rFonts w:ascii="Times New Roman" w:hAnsi="Times New Roman"/>
          <w:b/>
          <w:bCs/>
          <w:szCs w:val="24"/>
          <w:lang w:val="sr-Cyrl-RS"/>
        </w:rPr>
        <w:t xml:space="preserve">            </w:t>
      </w:r>
      <w:r w:rsidR="00770C69" w:rsidRPr="00E00086">
        <w:rPr>
          <w:rFonts w:ascii="Times New Roman" w:hAnsi="Times New Roman"/>
          <w:b/>
          <w:bCs/>
          <w:szCs w:val="24"/>
          <w:lang w:val="sr-Cyrl-RS"/>
        </w:rPr>
        <w:t xml:space="preserve">Дотације организацијама обавезног социјалног осигурања </w:t>
      </w:r>
      <w:r w:rsidR="00770C69" w:rsidRPr="00E00086">
        <w:rPr>
          <w:rFonts w:ascii="Times New Roman" w:hAnsi="Times New Roman"/>
          <w:szCs w:val="24"/>
          <w:lang w:val="sr-Cyrl-RS"/>
        </w:rPr>
        <w:t xml:space="preserve">планиране у износу од 355,72 млрд динара, што представља </w:t>
      </w:r>
      <w:r w:rsidR="005A2A90" w:rsidRPr="00E00086">
        <w:rPr>
          <w:rFonts w:ascii="Times New Roman" w:hAnsi="Times New Roman"/>
          <w:szCs w:val="24"/>
          <w:lang w:val="sr-Cyrl-RS"/>
        </w:rPr>
        <w:t>13,37</w:t>
      </w:r>
      <w:r w:rsidR="00770C69" w:rsidRPr="00E00086">
        <w:rPr>
          <w:rFonts w:ascii="Times New Roman" w:hAnsi="Times New Roman"/>
          <w:szCs w:val="24"/>
          <w:lang w:val="sr-Cyrl-RS"/>
        </w:rPr>
        <w:t>%</w:t>
      </w:r>
      <w:r w:rsidR="005D24B5" w:rsidRPr="00E00086">
        <w:rPr>
          <w:rFonts w:ascii="Times New Roman" w:hAnsi="Times New Roman"/>
          <w:szCs w:val="24"/>
          <w:lang w:val="sr-Cyrl-RS"/>
        </w:rPr>
        <w:t xml:space="preserve"> </w:t>
      </w:r>
      <w:r w:rsidR="00770C69" w:rsidRPr="00E00086">
        <w:rPr>
          <w:rFonts w:ascii="Times New Roman" w:hAnsi="Times New Roman"/>
          <w:szCs w:val="24"/>
          <w:lang w:val="sr-Cyrl-RS"/>
        </w:rPr>
        <w:t>укупних расхода и издатака и односе се на дотације Националној служби за запошљавање, Републичком фонду за пензијско и инвалидско осигурање, Републичком фонду за здравствено осигурање, Фонду за социјално осигурање војних осигураника и остале дотације.</w:t>
      </w:r>
    </w:p>
    <w:p w14:paraId="69B271DE" w14:textId="77777777" w:rsidR="00770C69" w:rsidRPr="00E00086" w:rsidRDefault="00770C69" w:rsidP="00770C69">
      <w:pPr>
        <w:ind w:firstLine="709"/>
        <w:rPr>
          <w:rFonts w:ascii="Times New Roman" w:hAnsi="Times New Roman"/>
          <w:szCs w:val="24"/>
          <w:lang w:val="sr-Cyrl-RS"/>
        </w:rPr>
      </w:pPr>
      <w:r w:rsidRPr="00E00086">
        <w:rPr>
          <w:rFonts w:ascii="Times New Roman" w:hAnsi="Times New Roman"/>
          <w:szCs w:val="24"/>
          <w:lang w:val="sr-Cyrl-RS"/>
        </w:rPr>
        <w:t>Дотације Националној служби за запошљавање планиране су у укупном износу од 0,75 млрд динара са раздела Министарства за рад, запошљавање, борачка и социјална питања и то за подстицање запошљавања особа са инвалидитетом у износу од 0,55 млрд динара и имплементацију програма „Гаранција за младеˮ у износу од 0,20 млрд динара.</w:t>
      </w:r>
    </w:p>
    <w:p w14:paraId="7DC73779" w14:textId="77777777" w:rsidR="00770C69" w:rsidRPr="00E00086" w:rsidRDefault="00770C69" w:rsidP="00770C69">
      <w:pPr>
        <w:ind w:firstLine="709"/>
        <w:rPr>
          <w:rFonts w:ascii="Calibri" w:hAnsi="Calibri"/>
          <w:lang w:val="sr-Cyrl-RS"/>
        </w:rPr>
      </w:pPr>
      <w:r w:rsidRPr="00E00086">
        <w:rPr>
          <w:rFonts w:ascii="Times New Roman" w:hAnsi="Times New Roman"/>
          <w:szCs w:val="24"/>
          <w:lang w:val="sr-Cyrl-RS"/>
        </w:rPr>
        <w:t xml:space="preserve">Дотације Републичком фонду за пензијско и инвалидско осигурање планиране су у укупном износу од </w:t>
      </w:r>
      <w:bookmarkStart w:id="3" w:name="_Hlk146553771"/>
      <w:r w:rsidRPr="00E00086">
        <w:rPr>
          <w:rFonts w:ascii="Times New Roman" w:hAnsi="Times New Roman"/>
          <w:szCs w:val="24"/>
          <w:lang w:val="sr-Cyrl-RS"/>
        </w:rPr>
        <w:t>267,</w:t>
      </w:r>
      <w:bookmarkEnd w:id="3"/>
      <w:r w:rsidRPr="00E00086">
        <w:rPr>
          <w:rFonts w:ascii="Times New Roman" w:hAnsi="Times New Roman"/>
          <w:szCs w:val="24"/>
          <w:lang w:val="sr-Cyrl-RS"/>
        </w:rPr>
        <w:t>5 млрд са раздела Министарства финансија то за исплату недостајућих средстава за редовне пензије у износу од 227,72 млрд динара и за подршку остварењу права корисника у складу са Законом о пензијском и инвалидском осигурању и посебним прописима у износу од 39,78 млрд динара.</w:t>
      </w:r>
      <w:r w:rsidRPr="00E00086">
        <w:rPr>
          <w:lang w:val="sr-Cyrl-RS"/>
        </w:rPr>
        <w:t xml:space="preserve"> </w:t>
      </w:r>
    </w:p>
    <w:p w14:paraId="5EA81763" w14:textId="77777777" w:rsidR="00770C69" w:rsidRPr="00E00086" w:rsidRDefault="00770C69" w:rsidP="00770C69">
      <w:pPr>
        <w:ind w:firstLine="709"/>
        <w:rPr>
          <w:rFonts w:ascii="Times New Roman" w:hAnsi="Times New Roman"/>
          <w:szCs w:val="24"/>
          <w:lang w:val="sr-Cyrl-RS"/>
        </w:rPr>
      </w:pPr>
      <w:r w:rsidRPr="00E00086">
        <w:rPr>
          <w:rFonts w:ascii="Times New Roman" w:hAnsi="Times New Roman"/>
          <w:szCs w:val="24"/>
          <w:lang w:val="sr-Cyrl-RS"/>
        </w:rPr>
        <w:t xml:space="preserve">Дотације Републичком фонду за здравствено осигурање планиранe су у укупном износу од 79,36 млрд динара и то: са раздела Министарства финансија у износу од 59,35 млрд динара, од чега због смањене стопе доприноса за здравствено осигурање у износу од </w:t>
      </w:r>
      <w:r w:rsidRPr="00E00086">
        <w:rPr>
          <w:rFonts w:ascii="Times New Roman" w:hAnsi="Times New Roman"/>
          <w:szCs w:val="24"/>
          <w:lang w:val="sr-Cyrl-RS"/>
        </w:rPr>
        <w:lastRenderedPageBreak/>
        <w:t xml:space="preserve">58,85 млрд динара и по основу доприноса за здравствено осигурање за одређена привредна друштва у износу од 0,5 млрд динара; са раздела Министарства здравља у износу од 20,01 млрд динара и то 5,20 млрд динара за накнаду зараде у случају привремене спречености за рад због болести или компликација у вези са одржавањем трудноће, 10,20 млрд динара за здравствену заштиту лица оболелих од ретких болести, 4,60 млрд динара за здравствену заштиту лица која се сматрају осигураницима по члану 16. став 1. Закона о здравственом осигурању и 0,01 млрд динара за подршку активностима Банке репродуктивних ћелија. </w:t>
      </w:r>
    </w:p>
    <w:p w14:paraId="719629AC" w14:textId="77777777" w:rsidR="00770C69" w:rsidRPr="00E00086" w:rsidRDefault="00770C69" w:rsidP="00770C69">
      <w:pPr>
        <w:ind w:firstLine="709"/>
        <w:rPr>
          <w:rFonts w:ascii="Times New Roman" w:hAnsi="Times New Roman"/>
          <w:szCs w:val="24"/>
          <w:lang w:val="sr-Cyrl-RS"/>
        </w:rPr>
      </w:pPr>
      <w:r w:rsidRPr="00E00086">
        <w:rPr>
          <w:rFonts w:ascii="Times New Roman" w:hAnsi="Times New Roman"/>
          <w:szCs w:val="24"/>
          <w:lang w:val="sr-Cyrl-RS"/>
        </w:rPr>
        <w:t>Дотације Фонду за социјално осигурање војних осигураника су планиране у износу од 0,30 млрд динара са раздела Министарства одбране за накнаду дела трошкова за становање корисницима војних пензија.</w:t>
      </w:r>
    </w:p>
    <w:p w14:paraId="28C99D3A" w14:textId="77777777" w:rsidR="00770C69" w:rsidRPr="00E00086" w:rsidRDefault="00770C69" w:rsidP="00770C69">
      <w:pPr>
        <w:ind w:firstLine="709"/>
        <w:rPr>
          <w:rFonts w:ascii="Times New Roman" w:hAnsi="Times New Roman"/>
          <w:szCs w:val="24"/>
          <w:lang w:val="sr-Cyrl-RS"/>
        </w:rPr>
      </w:pPr>
      <w:r w:rsidRPr="00E00086">
        <w:rPr>
          <w:rFonts w:ascii="Times New Roman" w:hAnsi="Times New Roman"/>
          <w:szCs w:val="24"/>
          <w:lang w:val="sr-Cyrl-RS"/>
        </w:rPr>
        <w:t xml:space="preserve">Остале дотације у износу од 7,81 млрд намењене су за: пореске олакшице организацијама за обавезно социјално осигурање; изградњу, реконструкцију и опремање здравствених установа; инвестиционо улагање и инвестиционо-текуће одржавање просторија; медицинске и немедицинске опреме и др. </w:t>
      </w:r>
    </w:p>
    <w:p w14:paraId="2F13DE0E" w14:textId="77430F0B" w:rsidR="006F419D" w:rsidRPr="00E00086" w:rsidRDefault="006F419D" w:rsidP="009E60C0">
      <w:pPr>
        <w:tabs>
          <w:tab w:val="left" w:pos="900"/>
        </w:tabs>
        <w:rPr>
          <w:rStyle w:val="CharCharChar5"/>
          <w:rFonts w:ascii="Times New Roman" w:hAnsi="Times New Roman"/>
          <w:szCs w:val="24"/>
          <w:lang w:val="sr-Cyrl-RS"/>
        </w:rPr>
      </w:pPr>
    </w:p>
    <w:p w14:paraId="06DC2ACB" w14:textId="3D292362" w:rsidR="004B640B" w:rsidRPr="00E00086" w:rsidRDefault="001B3CD4" w:rsidP="005B683B">
      <w:pPr>
        <w:rPr>
          <w:rStyle w:val="CharCharChar5"/>
          <w:rFonts w:ascii="Times New Roman" w:hAnsi="Times New Roman"/>
          <w:szCs w:val="24"/>
          <w:lang w:val="sr-Cyrl-RS"/>
        </w:rPr>
      </w:pPr>
      <w:r>
        <w:rPr>
          <w:noProof/>
        </w:rPr>
        <w:drawing>
          <wp:inline distT="0" distB="0" distL="0" distR="0" wp14:anchorId="6E3F4289" wp14:editId="175F1CF3">
            <wp:extent cx="5884497" cy="2962275"/>
            <wp:effectExtent l="0" t="0" r="2540" b="0"/>
            <wp:docPr id="13630009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223" cy="2967675"/>
                    </a:xfrm>
                    <a:prstGeom prst="rect">
                      <a:avLst/>
                    </a:prstGeom>
                    <a:noFill/>
                  </pic:spPr>
                </pic:pic>
              </a:graphicData>
            </a:graphic>
          </wp:inline>
        </w:drawing>
      </w:r>
    </w:p>
    <w:p w14:paraId="08C69771" w14:textId="1DAAA5E0" w:rsidR="00B20926" w:rsidRPr="0006598D" w:rsidRDefault="00B20926" w:rsidP="00A334DF">
      <w:pPr>
        <w:tabs>
          <w:tab w:val="left" w:pos="720"/>
          <w:tab w:val="left" w:pos="900"/>
        </w:tabs>
        <w:rPr>
          <w:rFonts w:ascii="Times New Roman" w:hAnsi="Times New Roman"/>
          <w:b/>
          <w:bCs/>
          <w:color w:val="000000"/>
          <w:szCs w:val="24"/>
          <w:lang w:val="sr-Latn-RS"/>
        </w:rPr>
      </w:pPr>
      <w:bookmarkStart w:id="4" w:name="_Hlk56100649"/>
    </w:p>
    <w:p w14:paraId="75B2AB38" w14:textId="45AC7CC7" w:rsidR="00A334DF" w:rsidRPr="00E00086" w:rsidRDefault="00B20926" w:rsidP="00A334DF">
      <w:pPr>
        <w:tabs>
          <w:tab w:val="left" w:pos="720"/>
          <w:tab w:val="left" w:pos="900"/>
        </w:tabs>
        <w:rPr>
          <w:rFonts w:ascii="Times New Roman" w:hAnsi="Times New Roman"/>
          <w:color w:val="000000"/>
          <w:szCs w:val="24"/>
          <w:lang w:val="sr-Cyrl-RS"/>
        </w:rPr>
      </w:pPr>
      <w:r>
        <w:rPr>
          <w:rFonts w:ascii="Times New Roman" w:hAnsi="Times New Roman"/>
          <w:b/>
          <w:bCs/>
          <w:color w:val="000000"/>
          <w:szCs w:val="24"/>
          <w:lang w:val="sr-Latn-RS"/>
        </w:rPr>
        <w:tab/>
      </w:r>
      <w:r w:rsidR="00CE2A83" w:rsidRPr="00E00086">
        <w:rPr>
          <w:rFonts w:ascii="Times New Roman" w:hAnsi="Times New Roman"/>
          <w:b/>
          <w:bCs/>
          <w:color w:val="000000"/>
          <w:szCs w:val="24"/>
          <w:lang w:val="sr-Cyrl-RS"/>
        </w:rPr>
        <w:t xml:space="preserve">Остале дотације и трансфери </w:t>
      </w:r>
      <w:r w:rsidR="00CE2A83" w:rsidRPr="00E00086">
        <w:rPr>
          <w:rFonts w:ascii="Times New Roman" w:hAnsi="Times New Roman"/>
          <w:color w:val="000000"/>
          <w:szCs w:val="24"/>
          <w:lang w:val="sr-Cyrl-RS"/>
        </w:rPr>
        <w:t>планиран</w:t>
      </w:r>
      <w:r w:rsidR="00783E0E" w:rsidRPr="00E00086">
        <w:rPr>
          <w:rFonts w:ascii="Times New Roman" w:hAnsi="Times New Roman"/>
          <w:color w:val="000000"/>
          <w:szCs w:val="24"/>
          <w:lang w:val="sr-Cyrl-RS"/>
        </w:rPr>
        <w:t>e</w:t>
      </w:r>
      <w:r w:rsidR="00CE2A83" w:rsidRPr="00E00086">
        <w:rPr>
          <w:rFonts w:ascii="Times New Roman" w:hAnsi="Times New Roman"/>
          <w:color w:val="000000"/>
          <w:szCs w:val="24"/>
          <w:lang w:val="sr-Cyrl-RS"/>
        </w:rPr>
        <w:t xml:space="preserve"> су у износу од </w:t>
      </w:r>
      <w:r w:rsidR="00DE2D70" w:rsidRPr="00E00086">
        <w:rPr>
          <w:rFonts w:ascii="Times New Roman" w:hAnsi="Times New Roman"/>
          <w:color w:val="000000"/>
          <w:szCs w:val="24"/>
          <w:lang w:val="sr-Cyrl-RS"/>
        </w:rPr>
        <w:t>3,</w:t>
      </w:r>
      <w:r w:rsidR="00EE2C0F" w:rsidRPr="00E00086">
        <w:rPr>
          <w:rFonts w:ascii="Times New Roman" w:hAnsi="Times New Roman"/>
          <w:color w:val="000000"/>
          <w:szCs w:val="24"/>
          <w:lang w:val="sr-Cyrl-RS"/>
        </w:rPr>
        <w:t>5</w:t>
      </w:r>
      <w:r w:rsidR="00F16DD3">
        <w:rPr>
          <w:rFonts w:ascii="Times New Roman" w:hAnsi="Times New Roman"/>
          <w:color w:val="000000"/>
          <w:szCs w:val="24"/>
          <w:lang w:val="sr-Latn-RS"/>
        </w:rPr>
        <w:t>5</w:t>
      </w:r>
      <w:r w:rsidR="00CE2A83" w:rsidRPr="00E00086">
        <w:rPr>
          <w:rFonts w:ascii="Times New Roman" w:hAnsi="Times New Roman"/>
          <w:color w:val="000000"/>
          <w:szCs w:val="24"/>
          <w:lang w:val="sr-Cyrl-RS"/>
        </w:rPr>
        <w:t xml:space="preserve"> млрд динара </w:t>
      </w:r>
      <w:r w:rsidR="00CE2A83" w:rsidRPr="00E00086">
        <w:rPr>
          <w:rFonts w:ascii="Times New Roman" w:hAnsi="Times New Roman"/>
          <w:szCs w:val="24"/>
          <w:lang w:val="sr-Cyrl-RS"/>
        </w:rPr>
        <w:t>што представља 0,</w:t>
      </w:r>
      <w:r w:rsidR="00DE2D70" w:rsidRPr="00E00086">
        <w:rPr>
          <w:rFonts w:ascii="Times New Roman" w:hAnsi="Times New Roman"/>
          <w:szCs w:val="24"/>
          <w:lang w:val="sr-Cyrl-RS"/>
        </w:rPr>
        <w:t>1</w:t>
      </w:r>
      <w:r w:rsidR="001409DA" w:rsidRPr="00E00086">
        <w:rPr>
          <w:rFonts w:ascii="Times New Roman" w:hAnsi="Times New Roman"/>
          <w:szCs w:val="24"/>
          <w:lang w:val="sr-Cyrl-RS"/>
        </w:rPr>
        <w:t>3</w:t>
      </w:r>
      <w:r w:rsidR="00CE2A83" w:rsidRPr="00E00086">
        <w:rPr>
          <w:rFonts w:ascii="Times New Roman" w:hAnsi="Times New Roman"/>
          <w:szCs w:val="24"/>
          <w:lang w:val="sr-Cyrl-RS"/>
        </w:rPr>
        <w:t>% укупних расхода и издатака</w:t>
      </w:r>
      <w:r w:rsidR="00CE2A83" w:rsidRPr="00E00086">
        <w:rPr>
          <w:rFonts w:ascii="Times New Roman" w:hAnsi="Times New Roman"/>
          <w:color w:val="000000"/>
          <w:szCs w:val="24"/>
          <w:lang w:val="sr-Cyrl-RS"/>
        </w:rPr>
        <w:t>. Средства су највећим делом планирана за</w:t>
      </w:r>
      <w:r w:rsidR="00C61B36" w:rsidRPr="00E00086">
        <w:rPr>
          <w:rFonts w:ascii="Times New Roman" w:hAnsi="Times New Roman"/>
          <w:color w:val="000000"/>
          <w:szCs w:val="24"/>
          <w:lang w:val="sr-Cyrl-RS"/>
        </w:rPr>
        <w:t>:</w:t>
      </w:r>
      <w:r w:rsidR="00CE2A83" w:rsidRPr="00E00086">
        <w:rPr>
          <w:rFonts w:ascii="Times New Roman" w:hAnsi="Times New Roman"/>
          <w:color w:val="000000"/>
          <w:szCs w:val="24"/>
          <w:lang w:val="sr-Cyrl-RS"/>
        </w:rPr>
        <w:t xml:space="preserve"> </w:t>
      </w:r>
    </w:p>
    <w:p w14:paraId="6232B50E" w14:textId="58540D41" w:rsidR="006A599B" w:rsidRPr="00E00086" w:rsidRDefault="006A599B" w:rsidP="00A334DF">
      <w:pPr>
        <w:tabs>
          <w:tab w:val="left" w:pos="720"/>
          <w:tab w:val="left" w:pos="900"/>
        </w:tabs>
        <w:rPr>
          <w:rFonts w:ascii="Times New Roman" w:hAnsi="Times New Roman"/>
          <w:color w:val="000000"/>
          <w:szCs w:val="24"/>
          <w:lang w:val="sr-Cyrl-RS"/>
        </w:rPr>
      </w:pPr>
      <w:r w:rsidRPr="00E00086">
        <w:rPr>
          <w:rFonts w:ascii="Times New Roman" w:hAnsi="Times New Roman"/>
          <w:color w:val="000000"/>
          <w:szCs w:val="24"/>
          <w:lang w:val="sr-Cyrl-RS"/>
        </w:rPr>
        <w:t>подршку за рад института и завода за јавно здравље; здравствену заштиту лица на издржавању казне затвора и пружање хитне медицинске помоћи особама непознатог пребивалишта и другим лицима која ово право не остварују на другачији начин; извршавање мера безбедности обавезног психијатријског лечења и чувања у здравственој установи, обавезног лечења алкохоличара и зависника од дрога и др.</w:t>
      </w:r>
    </w:p>
    <w:p w14:paraId="7393BE9C" w14:textId="06D09E48" w:rsidR="004617E0" w:rsidRPr="00E00086" w:rsidRDefault="00850514" w:rsidP="00EB68D4">
      <w:pPr>
        <w:tabs>
          <w:tab w:val="left" w:pos="720"/>
          <w:tab w:val="left" w:pos="900"/>
        </w:tabs>
        <w:rPr>
          <w:rFonts w:ascii="Times New Roman" w:hAnsi="Times New Roman"/>
          <w:szCs w:val="24"/>
          <w:lang w:val="sr-Cyrl-RS"/>
        </w:rPr>
      </w:pPr>
      <w:r w:rsidRPr="00E00086">
        <w:rPr>
          <w:rFonts w:ascii="Times New Roman" w:hAnsi="Times New Roman"/>
          <w:b/>
          <w:bCs/>
          <w:spacing w:val="-2"/>
          <w:szCs w:val="24"/>
          <w:lang w:val="sr-Cyrl-RS"/>
        </w:rPr>
        <w:tab/>
        <w:t xml:space="preserve">Накнаде за социјалну заштиту из буџета </w:t>
      </w:r>
      <w:r w:rsidRPr="00E00086">
        <w:rPr>
          <w:rFonts w:ascii="Times New Roman" w:hAnsi="Times New Roman"/>
          <w:szCs w:val="24"/>
          <w:lang w:val="sr-Cyrl-RS"/>
        </w:rPr>
        <w:t xml:space="preserve">износе </w:t>
      </w:r>
      <w:r w:rsidR="0006571E" w:rsidRPr="00E00086">
        <w:rPr>
          <w:rFonts w:ascii="Times New Roman" w:hAnsi="Times New Roman"/>
          <w:szCs w:val="24"/>
          <w:lang w:val="sr-Cyrl-RS"/>
        </w:rPr>
        <w:t>197,40</w:t>
      </w:r>
      <w:r w:rsidRPr="00E00086">
        <w:rPr>
          <w:rFonts w:ascii="Times New Roman" w:hAnsi="Times New Roman"/>
          <w:szCs w:val="24"/>
          <w:lang w:val="sr-Cyrl-RS"/>
        </w:rPr>
        <w:t xml:space="preserve"> млрд динара што представља </w:t>
      </w:r>
      <w:r w:rsidR="00F7766E" w:rsidRPr="00E00086">
        <w:rPr>
          <w:rFonts w:ascii="Times New Roman" w:hAnsi="Times New Roman"/>
          <w:szCs w:val="24"/>
          <w:lang w:val="sr-Cyrl-RS"/>
        </w:rPr>
        <w:t>7,</w:t>
      </w:r>
      <w:r w:rsidR="001409DA" w:rsidRPr="00E00086">
        <w:rPr>
          <w:rFonts w:ascii="Times New Roman" w:hAnsi="Times New Roman"/>
          <w:szCs w:val="24"/>
          <w:lang w:val="sr-Cyrl-RS"/>
        </w:rPr>
        <w:t>42</w:t>
      </w:r>
      <w:r w:rsidRPr="00E00086">
        <w:rPr>
          <w:rFonts w:ascii="Times New Roman" w:hAnsi="Times New Roman"/>
          <w:szCs w:val="24"/>
          <w:lang w:val="sr-Cyrl-RS"/>
        </w:rPr>
        <w:t xml:space="preserve">% укупних расхода и издатака. </w:t>
      </w:r>
      <w:r w:rsidR="004617E0" w:rsidRPr="00E00086">
        <w:rPr>
          <w:rFonts w:ascii="Times New Roman" w:hAnsi="Times New Roman"/>
          <w:szCs w:val="24"/>
          <w:lang w:val="sr-Cyrl-RS"/>
        </w:rPr>
        <w:t xml:space="preserve">Највећи износ средстава планиран је за: права корисника из области заштите породице и деце; права корисника социјалне заштите; права корисника борачко-инвалидске заштите; </w:t>
      </w:r>
      <w:r w:rsidR="004617E0" w:rsidRPr="00E00086">
        <w:rPr>
          <w:rFonts w:ascii="Times New Roman" w:hAnsi="Times New Roman"/>
          <w:lang w:val="sr-Cyrl-RS"/>
        </w:rPr>
        <w:t xml:space="preserve">подршку рада хранитеља; </w:t>
      </w:r>
      <w:r w:rsidR="004617E0" w:rsidRPr="00E00086">
        <w:rPr>
          <w:rFonts w:ascii="Times New Roman" w:hAnsi="Times New Roman"/>
          <w:szCs w:val="24"/>
          <w:lang w:val="sr-Cyrl-RS"/>
        </w:rPr>
        <w:t>побољшање ученичког и студентског стандарда; национална признања за посебан допринос развоју и афирмацији спорта и осталу социјалну заштиту из буџета (спортске стипендије</w:t>
      </w:r>
      <w:r w:rsidR="00AF08CA" w:rsidRPr="00E00086">
        <w:rPr>
          <w:rFonts w:ascii="Times New Roman" w:hAnsi="Times New Roman"/>
          <w:szCs w:val="24"/>
          <w:lang w:val="sr-Cyrl-RS"/>
        </w:rPr>
        <w:t>,</w:t>
      </w:r>
      <w:r w:rsidR="004617E0" w:rsidRPr="00E00086">
        <w:rPr>
          <w:rFonts w:ascii="Times New Roman" w:hAnsi="Times New Roman"/>
          <w:szCs w:val="24"/>
          <w:lang w:val="sr-Cyrl-RS"/>
        </w:rPr>
        <w:t xml:space="preserve"> подршк</w:t>
      </w:r>
      <w:r w:rsidR="00D65CF1" w:rsidRPr="00E00086">
        <w:rPr>
          <w:rFonts w:ascii="Times New Roman" w:hAnsi="Times New Roman"/>
          <w:szCs w:val="24"/>
          <w:lang w:val="sr-Cyrl-RS"/>
        </w:rPr>
        <w:t>у</w:t>
      </w:r>
      <w:r w:rsidR="004617E0" w:rsidRPr="00E00086">
        <w:rPr>
          <w:rFonts w:ascii="Times New Roman" w:hAnsi="Times New Roman"/>
          <w:szCs w:val="24"/>
          <w:lang w:val="sr-Cyrl-RS"/>
        </w:rPr>
        <w:t xml:space="preserve"> школовању и усавршавању младих талената</w:t>
      </w:r>
      <w:r w:rsidR="00AF08CA" w:rsidRPr="00E00086">
        <w:rPr>
          <w:rFonts w:ascii="Times New Roman" w:hAnsi="Times New Roman"/>
          <w:szCs w:val="24"/>
          <w:lang w:val="sr-Cyrl-RS"/>
        </w:rPr>
        <w:t>,</w:t>
      </w:r>
      <w:r w:rsidR="004617E0" w:rsidRPr="00E00086">
        <w:rPr>
          <w:rFonts w:ascii="Times New Roman" w:hAnsi="Times New Roman"/>
          <w:szCs w:val="24"/>
          <w:lang w:val="sr-Cyrl-RS"/>
        </w:rPr>
        <w:t xml:space="preserve"> академијске награде</w:t>
      </w:r>
      <w:r w:rsidR="00AF08CA" w:rsidRPr="00E00086">
        <w:rPr>
          <w:rFonts w:ascii="Times New Roman" w:hAnsi="Times New Roman"/>
          <w:szCs w:val="24"/>
          <w:lang w:val="sr-Cyrl-RS"/>
        </w:rPr>
        <w:t>,</w:t>
      </w:r>
      <w:r w:rsidR="004617E0" w:rsidRPr="00E00086">
        <w:rPr>
          <w:rFonts w:ascii="Times New Roman" w:hAnsi="Times New Roman"/>
          <w:szCs w:val="24"/>
          <w:lang w:val="sr-Cyrl-RS"/>
        </w:rPr>
        <w:t xml:space="preserve"> подршку реализацији општег интереса у научној истраживачкој делатности</w:t>
      </w:r>
      <w:r w:rsidR="00AF08CA" w:rsidRPr="00E00086">
        <w:rPr>
          <w:rFonts w:ascii="Times New Roman" w:hAnsi="Times New Roman"/>
          <w:szCs w:val="24"/>
          <w:lang w:val="sr-Cyrl-RS"/>
        </w:rPr>
        <w:t>,</w:t>
      </w:r>
      <w:r w:rsidR="004617E0" w:rsidRPr="00E00086">
        <w:rPr>
          <w:rFonts w:ascii="Times New Roman" w:hAnsi="Times New Roman"/>
          <w:szCs w:val="24"/>
          <w:lang w:val="sr-Cyrl-RS"/>
        </w:rPr>
        <w:t xml:space="preserve"> обављање делатности установа социјалне заштите и др.).</w:t>
      </w:r>
    </w:p>
    <w:bookmarkEnd w:id="4"/>
    <w:p w14:paraId="057846E7" w14:textId="404527FD" w:rsidR="004B640B" w:rsidRPr="00E00086" w:rsidRDefault="004B640B" w:rsidP="0075297D">
      <w:pPr>
        <w:tabs>
          <w:tab w:val="left" w:pos="720"/>
        </w:tabs>
        <w:rPr>
          <w:rFonts w:asciiTheme="minorHAnsi" w:hAnsiTheme="minorHAnsi"/>
          <w:lang w:val="sr-Cyrl-RS"/>
        </w:rPr>
      </w:pPr>
    </w:p>
    <w:p w14:paraId="24F506A2" w14:textId="6B6884B7" w:rsidR="00116E21" w:rsidRPr="00E00086" w:rsidRDefault="000E39C2" w:rsidP="0075297D">
      <w:pPr>
        <w:tabs>
          <w:tab w:val="left" w:pos="720"/>
        </w:tabs>
        <w:rPr>
          <w:rFonts w:asciiTheme="minorHAnsi" w:hAnsiTheme="minorHAnsi"/>
          <w:szCs w:val="24"/>
          <w:lang w:val="sr-Cyrl-RS"/>
        </w:rPr>
      </w:pPr>
      <w:r>
        <w:rPr>
          <w:noProof/>
        </w:rPr>
        <w:lastRenderedPageBreak/>
        <w:drawing>
          <wp:inline distT="0" distB="0" distL="0" distR="0" wp14:anchorId="23B86435" wp14:editId="7330E51E">
            <wp:extent cx="5883153" cy="2695575"/>
            <wp:effectExtent l="0" t="0" r="3810" b="0"/>
            <wp:docPr id="845784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9294" cy="2707553"/>
                    </a:xfrm>
                    <a:prstGeom prst="rect">
                      <a:avLst/>
                    </a:prstGeom>
                    <a:noFill/>
                  </pic:spPr>
                </pic:pic>
              </a:graphicData>
            </a:graphic>
          </wp:inline>
        </w:drawing>
      </w:r>
    </w:p>
    <w:p w14:paraId="78F88023" w14:textId="7B4E9E81" w:rsidR="009F56CA" w:rsidRPr="00E00086" w:rsidRDefault="00981A36" w:rsidP="00332D68">
      <w:pPr>
        <w:tabs>
          <w:tab w:val="left" w:pos="720"/>
          <w:tab w:val="left" w:pos="900"/>
        </w:tabs>
        <w:rPr>
          <w:rFonts w:ascii="Times New Roman" w:hAnsi="Times New Roman"/>
          <w:color w:val="000000"/>
          <w:szCs w:val="24"/>
          <w:lang w:val="sr-Cyrl-RS"/>
        </w:rPr>
      </w:pPr>
      <w:r w:rsidRPr="00E00086">
        <w:rPr>
          <w:rFonts w:ascii="Times New Roman" w:hAnsi="Times New Roman"/>
          <w:color w:val="000000"/>
          <w:szCs w:val="24"/>
          <w:lang w:val="sr-Cyrl-RS"/>
        </w:rPr>
        <w:tab/>
      </w:r>
    </w:p>
    <w:p w14:paraId="60840C2F" w14:textId="7D15465A" w:rsidR="008828F5" w:rsidRPr="00E00086" w:rsidRDefault="009F56CA" w:rsidP="00332D68">
      <w:pPr>
        <w:tabs>
          <w:tab w:val="left" w:pos="720"/>
          <w:tab w:val="left" w:pos="900"/>
        </w:tabs>
        <w:rPr>
          <w:rFonts w:ascii="Times New Roman" w:hAnsi="Times New Roman"/>
          <w:szCs w:val="24"/>
          <w:lang w:val="sr-Cyrl-RS"/>
        </w:rPr>
      </w:pPr>
      <w:r w:rsidRPr="00E00086">
        <w:rPr>
          <w:rFonts w:ascii="Times New Roman" w:hAnsi="Times New Roman"/>
          <w:color w:val="000000"/>
          <w:szCs w:val="24"/>
          <w:lang w:val="sr-Cyrl-RS"/>
        </w:rPr>
        <w:tab/>
      </w:r>
      <w:r w:rsidR="00CE2A83" w:rsidRPr="00E00086">
        <w:rPr>
          <w:rFonts w:ascii="Times New Roman" w:hAnsi="Times New Roman"/>
          <w:b/>
          <w:bCs/>
          <w:color w:val="000000"/>
          <w:szCs w:val="24"/>
          <w:lang w:val="sr-Cyrl-RS"/>
        </w:rPr>
        <w:t xml:space="preserve">Остали текући расходи </w:t>
      </w:r>
      <w:r w:rsidR="00CE2A83" w:rsidRPr="00E00086">
        <w:rPr>
          <w:rFonts w:ascii="Times New Roman" w:hAnsi="Times New Roman"/>
          <w:color w:val="000000"/>
          <w:szCs w:val="24"/>
          <w:lang w:val="sr-Cyrl-RS"/>
        </w:rPr>
        <w:t xml:space="preserve">планирани су у износу од </w:t>
      </w:r>
      <w:r w:rsidR="00F76AC1" w:rsidRPr="00E00086">
        <w:rPr>
          <w:rFonts w:ascii="Times New Roman" w:hAnsi="Times New Roman"/>
          <w:szCs w:val="24"/>
          <w:lang w:val="sr-Cyrl-RS"/>
        </w:rPr>
        <w:t>53,</w:t>
      </w:r>
      <w:r w:rsidR="00890EFE">
        <w:rPr>
          <w:rFonts w:ascii="Times New Roman" w:hAnsi="Times New Roman"/>
          <w:szCs w:val="24"/>
          <w:lang w:val="sr-Latn-RS"/>
        </w:rPr>
        <w:t>7</w:t>
      </w:r>
      <w:r w:rsidR="008D2D92">
        <w:rPr>
          <w:rFonts w:ascii="Times New Roman" w:hAnsi="Times New Roman"/>
          <w:szCs w:val="24"/>
          <w:lang w:val="sr-Latn-RS"/>
        </w:rPr>
        <w:t>3</w:t>
      </w:r>
      <w:r w:rsidR="00CE2A83" w:rsidRPr="00E00086">
        <w:rPr>
          <w:rFonts w:ascii="Times New Roman" w:hAnsi="Times New Roman"/>
          <w:szCs w:val="24"/>
          <w:lang w:val="sr-Cyrl-RS"/>
        </w:rPr>
        <w:t xml:space="preserve"> млрд динара што представља 2,</w:t>
      </w:r>
      <w:r w:rsidR="00D166E5" w:rsidRPr="00E00086">
        <w:rPr>
          <w:rFonts w:ascii="Times New Roman" w:hAnsi="Times New Roman"/>
          <w:szCs w:val="24"/>
          <w:lang w:val="sr-Cyrl-RS"/>
        </w:rPr>
        <w:t>02</w:t>
      </w:r>
      <w:r w:rsidR="00CE2A83" w:rsidRPr="00E00086">
        <w:rPr>
          <w:rFonts w:ascii="Times New Roman" w:hAnsi="Times New Roman"/>
          <w:szCs w:val="24"/>
          <w:lang w:val="sr-Cyrl-RS"/>
        </w:rPr>
        <w:t>% укупних расх</w:t>
      </w:r>
      <w:r w:rsidR="007059E4" w:rsidRPr="00E00086">
        <w:rPr>
          <w:rFonts w:ascii="Times New Roman" w:hAnsi="Times New Roman"/>
          <w:szCs w:val="24"/>
          <w:lang w:val="sr-Cyrl-RS"/>
        </w:rPr>
        <w:t>ода и издатака. Највећи износ</w:t>
      </w:r>
      <w:r w:rsidR="00CE2A83" w:rsidRPr="00E00086">
        <w:rPr>
          <w:rFonts w:ascii="Times New Roman" w:hAnsi="Times New Roman"/>
          <w:szCs w:val="24"/>
          <w:lang w:val="sr-Cyrl-RS"/>
        </w:rPr>
        <w:t xml:space="preserve"> планиран</w:t>
      </w:r>
      <w:r w:rsidR="007059E4" w:rsidRPr="00E00086">
        <w:rPr>
          <w:rFonts w:ascii="Times New Roman" w:hAnsi="Times New Roman"/>
          <w:szCs w:val="24"/>
          <w:lang w:val="sr-Cyrl-RS"/>
        </w:rPr>
        <w:t xml:space="preserve"> је</w:t>
      </w:r>
      <w:r w:rsidR="00CE2A83" w:rsidRPr="00E00086">
        <w:rPr>
          <w:rFonts w:ascii="Times New Roman" w:hAnsi="Times New Roman"/>
          <w:szCs w:val="24"/>
          <w:lang w:val="sr-Cyrl-RS"/>
        </w:rPr>
        <w:t xml:space="preserve"> за</w:t>
      </w:r>
      <w:r w:rsidR="00CD0111" w:rsidRPr="00E00086">
        <w:rPr>
          <w:rFonts w:ascii="Times New Roman" w:hAnsi="Times New Roman"/>
          <w:szCs w:val="24"/>
          <w:lang w:val="sr-Cyrl-RS"/>
        </w:rPr>
        <w:t>:</w:t>
      </w:r>
      <w:r w:rsidR="00CE2A83" w:rsidRPr="00E00086">
        <w:rPr>
          <w:rFonts w:ascii="Times New Roman" w:hAnsi="Times New Roman"/>
          <w:szCs w:val="24"/>
          <w:lang w:val="sr-Cyrl-RS"/>
        </w:rPr>
        <w:t xml:space="preserve"> </w:t>
      </w:r>
      <w:r w:rsidR="00CE2A83" w:rsidRPr="00E00086">
        <w:rPr>
          <w:rFonts w:ascii="Times New Roman" w:hAnsi="Times New Roman"/>
          <w:bCs/>
          <w:szCs w:val="24"/>
          <w:lang w:val="sr-Cyrl-RS"/>
        </w:rPr>
        <w:t>дотације невладиним организацијама</w:t>
      </w:r>
      <w:r w:rsidR="00CE2A83" w:rsidRPr="00E00086">
        <w:rPr>
          <w:rFonts w:ascii="Times New Roman" w:hAnsi="Times New Roman"/>
          <w:szCs w:val="24"/>
          <w:lang w:val="sr-Cyrl-RS"/>
        </w:rPr>
        <w:t xml:space="preserve"> (финансирање редовног рада политичких субјеката</w:t>
      </w:r>
      <w:r w:rsidR="000B2E1D" w:rsidRPr="00E00086">
        <w:rPr>
          <w:rFonts w:ascii="Times New Roman" w:hAnsi="Times New Roman"/>
          <w:szCs w:val="24"/>
          <w:lang w:val="sr-Cyrl-RS"/>
        </w:rPr>
        <w:t>;</w:t>
      </w:r>
      <w:r w:rsidR="00CE2A83" w:rsidRPr="00E00086">
        <w:rPr>
          <w:rFonts w:ascii="Times New Roman" w:hAnsi="Times New Roman"/>
          <w:szCs w:val="24"/>
          <w:lang w:val="sr-Cyrl-RS"/>
        </w:rPr>
        <w:t xml:space="preserve"> финансирање гранских спортских савеза</w:t>
      </w:r>
      <w:r w:rsidR="000B2E1D" w:rsidRPr="00E00086">
        <w:rPr>
          <w:rFonts w:ascii="Times New Roman" w:hAnsi="Times New Roman"/>
          <w:szCs w:val="24"/>
          <w:lang w:val="sr-Cyrl-RS"/>
        </w:rPr>
        <w:t>;</w:t>
      </w:r>
      <w:r w:rsidR="00CE2A83" w:rsidRPr="00E00086">
        <w:rPr>
          <w:rFonts w:ascii="Calibri" w:hAnsi="Calibri" w:cs="Calibri"/>
          <w:sz w:val="22"/>
          <w:szCs w:val="22"/>
          <w:lang w:val="sr-Cyrl-RS"/>
        </w:rPr>
        <w:t xml:space="preserve"> </w:t>
      </w:r>
      <w:r w:rsidR="00CE2A83" w:rsidRPr="00E00086">
        <w:rPr>
          <w:rFonts w:ascii="Times New Roman" w:hAnsi="Times New Roman"/>
          <w:szCs w:val="24"/>
          <w:lang w:val="sr-Cyrl-RS"/>
        </w:rPr>
        <w:t>материјалн</w:t>
      </w:r>
      <w:r w:rsidR="00D85776" w:rsidRPr="00E00086">
        <w:rPr>
          <w:rFonts w:ascii="Times New Roman" w:hAnsi="Times New Roman"/>
          <w:szCs w:val="24"/>
          <w:lang w:val="sr-Cyrl-RS"/>
        </w:rPr>
        <w:t>у</w:t>
      </w:r>
      <w:r w:rsidR="00CE2A83" w:rsidRPr="00E00086">
        <w:rPr>
          <w:rFonts w:ascii="Times New Roman" w:hAnsi="Times New Roman"/>
          <w:szCs w:val="24"/>
          <w:lang w:val="sr-Cyrl-RS"/>
        </w:rPr>
        <w:t xml:space="preserve"> подршк</w:t>
      </w:r>
      <w:r w:rsidR="00D85776" w:rsidRPr="00E00086">
        <w:rPr>
          <w:rFonts w:ascii="Times New Roman" w:hAnsi="Times New Roman"/>
          <w:szCs w:val="24"/>
          <w:lang w:val="sr-Cyrl-RS"/>
        </w:rPr>
        <w:t>у</w:t>
      </w:r>
      <w:r w:rsidR="00CE2A83" w:rsidRPr="00E00086">
        <w:rPr>
          <w:rFonts w:ascii="Times New Roman" w:hAnsi="Times New Roman"/>
          <w:szCs w:val="24"/>
          <w:lang w:val="sr-Cyrl-RS"/>
        </w:rPr>
        <w:t xml:space="preserve"> раду правосудних органа</w:t>
      </w:r>
      <w:r w:rsidR="000B2E1D" w:rsidRPr="00E00086">
        <w:rPr>
          <w:rFonts w:ascii="Times New Roman" w:hAnsi="Times New Roman"/>
          <w:szCs w:val="24"/>
          <w:lang w:val="sr-Cyrl-RS"/>
        </w:rPr>
        <w:t>;</w:t>
      </w:r>
      <w:r w:rsidR="00CE2A83" w:rsidRPr="00E00086">
        <w:rPr>
          <w:rFonts w:ascii="Calibri" w:hAnsi="Calibri" w:cs="Calibri"/>
          <w:sz w:val="22"/>
          <w:szCs w:val="22"/>
          <w:lang w:val="sr-Cyrl-RS"/>
        </w:rPr>
        <w:t xml:space="preserve"> </w:t>
      </w:r>
      <w:r w:rsidR="00CE2A83" w:rsidRPr="00E00086">
        <w:rPr>
          <w:rFonts w:ascii="Times New Roman" w:hAnsi="Times New Roman"/>
          <w:szCs w:val="24"/>
          <w:lang w:val="sr-Cyrl-RS"/>
        </w:rPr>
        <w:t>унапређење положаја националних мањина</w:t>
      </w:r>
      <w:r w:rsidR="000B2E1D" w:rsidRPr="00E00086">
        <w:rPr>
          <w:rFonts w:ascii="Times New Roman" w:hAnsi="Times New Roman"/>
          <w:szCs w:val="24"/>
          <w:lang w:val="sr-Cyrl-RS"/>
        </w:rPr>
        <w:t>;</w:t>
      </w:r>
      <w:r w:rsidR="00CE2A83" w:rsidRPr="00E00086">
        <w:rPr>
          <w:rFonts w:ascii="Calibri" w:hAnsi="Calibri" w:cs="Calibri"/>
          <w:sz w:val="22"/>
          <w:szCs w:val="22"/>
          <w:lang w:val="sr-Cyrl-RS"/>
        </w:rPr>
        <w:t xml:space="preserve"> </w:t>
      </w:r>
      <w:r w:rsidR="00CE2A83" w:rsidRPr="00E00086">
        <w:rPr>
          <w:rFonts w:ascii="Times New Roman" w:hAnsi="Times New Roman"/>
          <w:szCs w:val="24"/>
          <w:lang w:val="sr-Cyrl-RS"/>
        </w:rPr>
        <w:t>подршк</w:t>
      </w:r>
      <w:r w:rsidR="00D85776" w:rsidRPr="00E00086">
        <w:rPr>
          <w:rFonts w:ascii="Times New Roman" w:hAnsi="Times New Roman"/>
          <w:szCs w:val="24"/>
          <w:lang w:val="sr-Cyrl-RS"/>
        </w:rPr>
        <w:t>у</w:t>
      </w:r>
      <w:r w:rsidR="00CE2A83" w:rsidRPr="00E00086">
        <w:rPr>
          <w:rFonts w:ascii="Times New Roman" w:hAnsi="Times New Roman"/>
          <w:szCs w:val="24"/>
          <w:lang w:val="sr-Cyrl-RS"/>
        </w:rPr>
        <w:t xml:space="preserve"> удружењима и локалним заједницама</w:t>
      </w:r>
      <w:r w:rsidR="00A13608" w:rsidRPr="00E00086">
        <w:rPr>
          <w:rFonts w:ascii="Times New Roman" w:hAnsi="Times New Roman"/>
          <w:szCs w:val="24"/>
          <w:lang w:val="sr-Cyrl-RS"/>
        </w:rPr>
        <w:t xml:space="preserve"> </w:t>
      </w:r>
      <w:r w:rsidR="00CE2A83" w:rsidRPr="00E00086">
        <w:rPr>
          <w:rFonts w:ascii="Times New Roman" w:hAnsi="Times New Roman"/>
          <w:szCs w:val="24"/>
          <w:lang w:val="sr-Cyrl-RS"/>
        </w:rPr>
        <w:t>и др</w:t>
      </w:r>
      <w:r w:rsidR="005A171E" w:rsidRPr="00E00086">
        <w:rPr>
          <w:rFonts w:ascii="Times New Roman" w:hAnsi="Times New Roman"/>
          <w:szCs w:val="24"/>
          <w:lang w:val="sr-Cyrl-RS"/>
        </w:rPr>
        <w:t>.</w:t>
      </w:r>
      <w:r w:rsidR="00CE2A83" w:rsidRPr="00E00086">
        <w:rPr>
          <w:rFonts w:ascii="Times New Roman" w:hAnsi="Times New Roman"/>
          <w:szCs w:val="24"/>
          <w:lang w:val="sr-Cyrl-RS"/>
        </w:rPr>
        <w:t>)</w:t>
      </w:r>
      <w:r w:rsidR="00BD0701" w:rsidRPr="00E00086">
        <w:rPr>
          <w:rFonts w:ascii="Times New Roman" w:hAnsi="Times New Roman"/>
          <w:szCs w:val="24"/>
          <w:lang w:val="sr-Cyrl-RS"/>
        </w:rPr>
        <w:t>;</w:t>
      </w:r>
      <w:r w:rsidR="00CE2A83" w:rsidRPr="00E00086">
        <w:rPr>
          <w:rFonts w:ascii="Times New Roman" w:hAnsi="Times New Roman"/>
          <w:szCs w:val="24"/>
          <w:lang w:val="sr-Cyrl-RS"/>
        </w:rPr>
        <w:t xml:space="preserve"> п</w:t>
      </w:r>
      <w:r w:rsidR="00CE2A83" w:rsidRPr="00E00086">
        <w:rPr>
          <w:rFonts w:ascii="Times New Roman" w:hAnsi="Times New Roman"/>
          <w:bCs/>
          <w:szCs w:val="24"/>
          <w:lang w:val="sr-Cyrl-RS"/>
        </w:rPr>
        <w:t>орезе, обавезне таксе, казне, пенале и камате</w:t>
      </w:r>
      <w:r w:rsidR="00CE2A83" w:rsidRPr="00E00086">
        <w:rPr>
          <w:rFonts w:ascii="Times New Roman" w:hAnsi="Times New Roman"/>
          <w:szCs w:val="24"/>
          <w:lang w:val="sr-Cyrl-RS"/>
        </w:rPr>
        <w:t xml:space="preserve">; </w:t>
      </w:r>
      <w:r w:rsidR="00CE2A83" w:rsidRPr="00E00086">
        <w:rPr>
          <w:rFonts w:ascii="Times New Roman" w:hAnsi="Times New Roman"/>
          <w:bCs/>
          <w:szCs w:val="24"/>
          <w:lang w:val="sr-Cyrl-RS"/>
        </w:rPr>
        <w:t>новчане казне и пенале по решењу судова</w:t>
      </w:r>
      <w:r w:rsidR="00CE2A83" w:rsidRPr="00E00086">
        <w:rPr>
          <w:rFonts w:ascii="Times New Roman" w:hAnsi="Times New Roman"/>
          <w:szCs w:val="24"/>
          <w:lang w:val="sr-Cyrl-RS"/>
        </w:rPr>
        <w:t xml:space="preserve"> (извршење судских поступака, заштита права у поступцима пред домаћим </w:t>
      </w:r>
      <w:r w:rsidR="00E93ABE" w:rsidRPr="00E00086">
        <w:rPr>
          <w:rFonts w:ascii="Times New Roman" w:hAnsi="Times New Roman"/>
          <w:szCs w:val="24"/>
          <w:lang w:val="sr-Cyrl-RS"/>
        </w:rPr>
        <w:t xml:space="preserve">и страним </w:t>
      </w:r>
      <w:r w:rsidR="00CE2A83" w:rsidRPr="00E00086">
        <w:rPr>
          <w:rFonts w:ascii="Times New Roman" w:hAnsi="Times New Roman"/>
          <w:szCs w:val="24"/>
          <w:lang w:val="sr-Cyrl-RS"/>
        </w:rPr>
        <w:t xml:space="preserve">судовима и др.); </w:t>
      </w:r>
      <w:r w:rsidR="00CE2A83" w:rsidRPr="00E00086">
        <w:rPr>
          <w:rFonts w:ascii="Times New Roman" w:hAnsi="Times New Roman"/>
          <w:bCs/>
          <w:szCs w:val="24"/>
          <w:lang w:val="sr-Cyrl-RS"/>
        </w:rPr>
        <w:t>накнаду штете за повреде или штету нанету од стране државних органа</w:t>
      </w:r>
      <w:r w:rsidR="00CE2A83" w:rsidRPr="00E00086">
        <w:rPr>
          <w:rFonts w:ascii="Times New Roman" w:hAnsi="Times New Roman"/>
          <w:b/>
          <w:szCs w:val="24"/>
          <w:lang w:val="sr-Cyrl-RS"/>
        </w:rPr>
        <w:t xml:space="preserve"> </w:t>
      </w:r>
      <w:r w:rsidR="00CE2A83" w:rsidRPr="00E00086">
        <w:rPr>
          <w:rFonts w:ascii="Times New Roman" w:hAnsi="Times New Roman"/>
          <w:szCs w:val="24"/>
          <w:lang w:val="sr-Cyrl-RS"/>
        </w:rPr>
        <w:t>(враћање одузете имовине и обештећење за одузету имовину</w:t>
      </w:r>
      <w:r w:rsidR="00A13608" w:rsidRPr="00E00086">
        <w:rPr>
          <w:rFonts w:ascii="Times New Roman" w:hAnsi="Times New Roman"/>
          <w:szCs w:val="24"/>
          <w:lang w:val="sr-Cyrl-RS"/>
        </w:rPr>
        <w:t xml:space="preserve">, </w:t>
      </w:r>
      <w:r w:rsidR="00FC5015" w:rsidRPr="00E00086">
        <w:rPr>
          <w:rFonts w:ascii="Times New Roman" w:hAnsi="Times New Roman"/>
          <w:szCs w:val="24"/>
          <w:lang w:val="sr-Cyrl-RS"/>
        </w:rPr>
        <w:t xml:space="preserve">интервенцијска средства за потребе спровођења ИПА програма; </w:t>
      </w:r>
      <w:r w:rsidR="007B480D" w:rsidRPr="00E00086">
        <w:rPr>
          <w:rFonts w:ascii="Times New Roman" w:hAnsi="Times New Roman"/>
          <w:szCs w:val="24"/>
          <w:lang w:val="sr-Cyrl-RS"/>
        </w:rPr>
        <w:t xml:space="preserve">спровођење судских поступака; </w:t>
      </w:r>
      <w:r w:rsidR="00A13608" w:rsidRPr="00E00086">
        <w:rPr>
          <w:rFonts w:ascii="Times New Roman" w:hAnsi="Times New Roman"/>
          <w:szCs w:val="24"/>
          <w:lang w:val="sr-Cyrl-RS"/>
        </w:rPr>
        <w:t>функционисање МО и ВС</w:t>
      </w:r>
      <w:r w:rsidR="00E76A98" w:rsidRPr="00E00086">
        <w:rPr>
          <w:rFonts w:ascii="Times New Roman" w:hAnsi="Times New Roman"/>
          <w:szCs w:val="24"/>
          <w:lang w:val="sr-Cyrl-RS"/>
        </w:rPr>
        <w:t>)</w:t>
      </w:r>
      <w:r w:rsidR="00E93ABE" w:rsidRPr="00E00086">
        <w:rPr>
          <w:rFonts w:ascii="Times New Roman" w:hAnsi="Times New Roman"/>
          <w:szCs w:val="24"/>
          <w:lang w:val="sr-Cyrl-RS"/>
        </w:rPr>
        <w:t xml:space="preserve"> </w:t>
      </w:r>
      <w:r w:rsidR="008B38AA" w:rsidRPr="00E00086">
        <w:rPr>
          <w:rFonts w:ascii="Times New Roman" w:hAnsi="Times New Roman"/>
          <w:szCs w:val="24"/>
          <w:lang w:val="sr-Cyrl-RS"/>
        </w:rPr>
        <w:t>и др.</w:t>
      </w:r>
    </w:p>
    <w:p w14:paraId="6FD8E43B" w14:textId="1A037C45" w:rsidR="00FC5F3D" w:rsidRPr="007E529C" w:rsidRDefault="00FC5F3D" w:rsidP="00C74213">
      <w:pPr>
        <w:ind w:firstLine="630"/>
        <w:rPr>
          <w:rFonts w:ascii="Calibri" w:hAnsi="Calibri"/>
          <w:sz w:val="22"/>
          <w:lang w:val="en-US"/>
        </w:rPr>
      </w:pPr>
      <w:r w:rsidRPr="00E00086">
        <w:rPr>
          <w:rFonts w:ascii="Times New Roman" w:hAnsi="Times New Roman"/>
          <w:b/>
          <w:bCs/>
          <w:color w:val="000000"/>
          <w:lang w:val="sr-Cyrl-RS"/>
        </w:rPr>
        <w:t>Издаци за нефинансијску имовину</w:t>
      </w:r>
      <w:r w:rsidRPr="00E00086">
        <w:rPr>
          <w:rFonts w:ascii="Times New Roman" w:hAnsi="Times New Roman"/>
          <w:bCs/>
          <w:lang w:val="sr-Cyrl-RS"/>
        </w:rPr>
        <w:t xml:space="preserve"> планирани су у износу од </w:t>
      </w:r>
      <w:r w:rsidR="00581BD6">
        <w:rPr>
          <w:rFonts w:ascii="Times New Roman" w:hAnsi="Times New Roman"/>
          <w:bCs/>
          <w:lang w:val="sr-Latn-RS"/>
        </w:rPr>
        <w:t>612,</w:t>
      </w:r>
      <w:r w:rsidR="005649DF">
        <w:rPr>
          <w:rFonts w:ascii="Times New Roman" w:hAnsi="Times New Roman"/>
          <w:bCs/>
          <w:lang w:val="sr-Latn-RS"/>
        </w:rPr>
        <w:t xml:space="preserve">59 </w:t>
      </w:r>
      <w:r w:rsidRPr="00E00086">
        <w:rPr>
          <w:rFonts w:ascii="Times New Roman" w:eastAsia="Calibri" w:hAnsi="Times New Roman"/>
          <w:bCs/>
          <w:lang w:val="sr-Cyrl-RS"/>
        </w:rPr>
        <w:t>млрд динара</w:t>
      </w:r>
      <w:r w:rsidRPr="00E00086">
        <w:rPr>
          <w:rFonts w:ascii="Times New Roman" w:hAnsi="Times New Roman"/>
          <w:color w:val="000000"/>
          <w:lang w:val="sr-Cyrl-RS"/>
        </w:rPr>
        <w:t xml:space="preserve"> </w:t>
      </w:r>
      <w:r w:rsidR="00782FB7" w:rsidRPr="00F61DD8">
        <w:rPr>
          <w:rFonts w:ascii="Times New Roman" w:hAnsi="Times New Roman"/>
          <w:szCs w:val="24"/>
          <w:lang w:val="sr-Cyrl-RS"/>
        </w:rPr>
        <w:t>што представља</w:t>
      </w:r>
      <w:r w:rsidR="00782FB7" w:rsidRPr="00F61DD8">
        <w:rPr>
          <w:rFonts w:ascii="Times New Roman" w:eastAsia="Calibri" w:hAnsi="Times New Roman"/>
          <w:bCs/>
          <w:lang w:val="sr-Cyrl-RS"/>
        </w:rPr>
        <w:t xml:space="preserve"> </w:t>
      </w:r>
      <w:r w:rsidR="007714E4" w:rsidRPr="00F61DD8">
        <w:rPr>
          <w:rFonts w:ascii="Times New Roman" w:hAnsi="Times New Roman"/>
          <w:szCs w:val="24"/>
          <w:lang w:val="sr-Cyrl-RS"/>
        </w:rPr>
        <w:t>23,0</w:t>
      </w:r>
      <w:r w:rsidR="005649DF">
        <w:rPr>
          <w:rFonts w:ascii="Times New Roman" w:hAnsi="Times New Roman"/>
          <w:szCs w:val="24"/>
          <w:lang w:val="sr-Latn-RS"/>
        </w:rPr>
        <w:t>3</w:t>
      </w:r>
      <w:r w:rsidR="00782FB7" w:rsidRPr="00F61DD8">
        <w:rPr>
          <w:rFonts w:ascii="Times New Roman" w:hAnsi="Times New Roman"/>
          <w:szCs w:val="24"/>
          <w:lang w:val="sr-Cyrl-RS"/>
        </w:rPr>
        <w:t>% укупних расхода и издатака</w:t>
      </w:r>
      <w:r w:rsidR="00782FB7" w:rsidRPr="00F61DD8">
        <w:rPr>
          <w:rFonts w:ascii="Times New Roman" w:eastAsia="Calibri" w:hAnsi="Times New Roman"/>
          <w:bCs/>
          <w:lang w:val="sr-Cyrl-RS"/>
        </w:rPr>
        <w:t xml:space="preserve">. </w:t>
      </w:r>
      <w:r w:rsidRPr="00F61DD8">
        <w:rPr>
          <w:rFonts w:ascii="Times New Roman" w:eastAsia="Calibri" w:hAnsi="Times New Roman"/>
          <w:bCs/>
          <w:lang w:val="sr-Cyrl-RS"/>
        </w:rPr>
        <w:t>Значајнија средства у 2025. години обезбеђена су за</w:t>
      </w:r>
      <w:r w:rsidRPr="00F61DD8">
        <w:rPr>
          <w:rFonts w:ascii="Times New Roman" w:hAnsi="Times New Roman"/>
          <w:lang w:val="sr-Cyrl-RS"/>
        </w:rPr>
        <w:t xml:space="preserve">: </w:t>
      </w:r>
      <w:r w:rsidR="00A13F12" w:rsidRPr="00F61DD8">
        <w:rPr>
          <w:rFonts w:ascii="Times New Roman" w:hAnsi="Times New Roman"/>
          <w:lang w:val="sr-Cyrl-RS"/>
        </w:rPr>
        <w:t>А</w:t>
      </w:r>
      <w:r w:rsidRPr="00F61DD8">
        <w:rPr>
          <w:rFonts w:ascii="Times New Roman" w:hAnsi="Times New Roman"/>
          <w:lang w:val="sr-Cyrl-RS"/>
        </w:rPr>
        <w:t>вио</w:t>
      </w:r>
      <w:r w:rsidR="00445305" w:rsidRPr="00F61DD8">
        <w:rPr>
          <w:rFonts w:ascii="Times New Roman" w:hAnsi="Times New Roman"/>
          <w:lang w:val="sr-Cyrl-RS"/>
        </w:rPr>
        <w:t>-</w:t>
      </w:r>
      <w:r w:rsidRPr="00F61DD8">
        <w:rPr>
          <w:rFonts w:ascii="Times New Roman" w:hAnsi="Times New Roman"/>
          <w:lang w:val="sr-Cyrl-RS"/>
        </w:rPr>
        <w:t xml:space="preserve">службу Владе у циљу завршетка изградње хангара и набавке </w:t>
      </w:r>
      <w:r w:rsidR="00283269" w:rsidRPr="00F61DD8">
        <w:rPr>
          <w:rFonts w:ascii="Times New Roman" w:hAnsi="Times New Roman"/>
          <w:lang w:val="sr-Cyrl-RS"/>
        </w:rPr>
        <w:t>опреме</w:t>
      </w:r>
      <w:r w:rsidRPr="00F61DD8">
        <w:rPr>
          <w:rFonts w:ascii="Times New Roman" w:eastAsia="Calibri" w:hAnsi="Times New Roman"/>
          <w:bCs/>
          <w:lang w:val="sr-Cyrl-RS"/>
        </w:rPr>
        <w:t>;</w:t>
      </w:r>
      <w:r w:rsidRPr="00F61DD8">
        <w:rPr>
          <w:rFonts w:ascii="Times New Roman" w:hAnsi="Times New Roman"/>
          <w:lang w:val="sr-Cyrl-RS"/>
        </w:rPr>
        <w:t xml:space="preserve"> изградњу Националног фудбалског стадиона са пратећим садржајима; </w:t>
      </w:r>
      <w:r w:rsidRPr="00F61DD8">
        <w:rPr>
          <w:rFonts w:ascii="Times New Roman" w:eastAsia="Calibri" w:hAnsi="Times New Roman"/>
          <w:bCs/>
          <w:lang w:val="sr-Cyrl-RS"/>
        </w:rPr>
        <w:t>EXPO Београд 2027; тунел од Карађорђеве улице</w:t>
      </w:r>
      <w:r w:rsidRPr="00E00086">
        <w:rPr>
          <w:rFonts w:ascii="Times New Roman" w:eastAsia="Calibri" w:hAnsi="Times New Roman"/>
          <w:bCs/>
          <w:lang w:val="sr-Cyrl-RS"/>
        </w:rPr>
        <w:t xml:space="preserve"> до Дунавске падине; Војску Србије; брзу саобраћајницу Iб реда Нови Сад-Рума;</w:t>
      </w:r>
      <w:r w:rsidR="007E529C">
        <w:rPr>
          <w:rFonts w:ascii="Times New Roman" w:eastAsia="Calibri" w:hAnsi="Times New Roman"/>
          <w:bCs/>
          <w:lang w:val="sr-Latn-RS"/>
        </w:rPr>
        <w:t xml:space="preserve"> </w:t>
      </w:r>
      <w:r w:rsidRPr="00E00086">
        <w:rPr>
          <w:rFonts w:ascii="Times New Roman" w:eastAsia="Calibri" w:hAnsi="Times New Roman"/>
          <w:bCs/>
          <w:lang w:val="sr-Cyrl-RS"/>
        </w:rPr>
        <w:t>Пројекат мађарско-српске железнице; реконструкцију железничке пруге Ниш</w:t>
      </w:r>
      <w:r w:rsidR="00A13F12" w:rsidRPr="00E00086">
        <w:rPr>
          <w:rFonts w:ascii="Times New Roman" w:eastAsia="Calibri" w:hAnsi="Times New Roman"/>
          <w:bCs/>
          <w:lang w:val="sr-Cyrl-RS"/>
        </w:rPr>
        <w:t>-</w:t>
      </w:r>
      <w:r w:rsidRPr="00E00086">
        <w:rPr>
          <w:rFonts w:ascii="Times New Roman" w:eastAsia="Calibri" w:hAnsi="Times New Roman"/>
          <w:bCs/>
          <w:lang w:val="sr-Cyrl-RS"/>
        </w:rPr>
        <w:t>Димитровград; изградњу аутопута Е-763, деоница: Прељина</w:t>
      </w:r>
      <w:r w:rsidR="00A13F12" w:rsidRPr="00E00086">
        <w:rPr>
          <w:rFonts w:ascii="Times New Roman" w:eastAsia="Calibri" w:hAnsi="Times New Roman"/>
          <w:bCs/>
          <w:lang w:val="sr-Cyrl-RS"/>
        </w:rPr>
        <w:t>-</w:t>
      </w:r>
      <w:r w:rsidRPr="00E00086">
        <w:rPr>
          <w:rFonts w:ascii="Times New Roman" w:eastAsia="Calibri" w:hAnsi="Times New Roman"/>
          <w:bCs/>
          <w:lang w:val="sr-Cyrl-RS"/>
        </w:rPr>
        <w:t>Пожега; изградњу аутопута Е-761, деоница: Појате</w:t>
      </w:r>
      <w:r w:rsidR="00A13F12" w:rsidRPr="00E00086">
        <w:rPr>
          <w:rFonts w:ascii="Times New Roman" w:eastAsia="Calibri" w:hAnsi="Times New Roman"/>
          <w:bCs/>
          <w:lang w:val="sr-Cyrl-RS"/>
        </w:rPr>
        <w:t>-</w:t>
      </w:r>
      <w:r w:rsidRPr="00E00086">
        <w:rPr>
          <w:rFonts w:ascii="Times New Roman" w:eastAsia="Calibri" w:hAnsi="Times New Roman"/>
          <w:bCs/>
          <w:lang w:val="sr-Cyrl-RS"/>
        </w:rPr>
        <w:t>Прељина; изградњу аутопута Е-761 Београд-Сарајево; изградњу саобраћајнице Рума-Шабац</w:t>
      </w:r>
      <w:r w:rsidR="00A13F12" w:rsidRPr="00E00086">
        <w:rPr>
          <w:rFonts w:ascii="Times New Roman" w:eastAsia="Calibri" w:hAnsi="Times New Roman"/>
          <w:bCs/>
          <w:lang w:val="sr-Cyrl-RS"/>
        </w:rPr>
        <w:t>-</w:t>
      </w:r>
      <w:r w:rsidRPr="00E00086">
        <w:rPr>
          <w:rFonts w:ascii="Times New Roman" w:eastAsia="Calibri" w:hAnsi="Times New Roman"/>
          <w:bCs/>
          <w:lang w:val="sr-Cyrl-RS"/>
        </w:rPr>
        <w:t>Лозница; изградњу аутопута Београд</w:t>
      </w:r>
      <w:r w:rsidR="00A13F12" w:rsidRPr="00E00086">
        <w:rPr>
          <w:rFonts w:ascii="Times New Roman" w:eastAsia="Calibri" w:hAnsi="Times New Roman"/>
          <w:bCs/>
          <w:lang w:val="sr-Cyrl-RS"/>
        </w:rPr>
        <w:t>-</w:t>
      </w:r>
      <w:r w:rsidRPr="00E00086">
        <w:rPr>
          <w:rFonts w:ascii="Times New Roman" w:eastAsia="Calibri" w:hAnsi="Times New Roman"/>
          <w:bCs/>
          <w:lang w:val="sr-Cyrl-RS"/>
        </w:rPr>
        <w:t>Зрењанин; изградња брзе саобраћајнице Иверак-Лајковац; Пројекат изградње комуналне (канализационе) инфраструктуре и инфраструктуре за одлагање комуналног чврстог отпада у Републици Србији; изградњу београдског метроа; изградњу северне обилазнице око Крагујевца; брзу саобраћајницу петља Пожаревац</w:t>
      </w:r>
      <w:r w:rsidR="00A13F12" w:rsidRPr="00E00086">
        <w:rPr>
          <w:rFonts w:ascii="Times New Roman" w:eastAsia="Calibri" w:hAnsi="Times New Roman"/>
          <w:bCs/>
          <w:lang w:val="sr-Cyrl-RS"/>
        </w:rPr>
        <w:t>-</w:t>
      </w:r>
      <w:r w:rsidRPr="00E00086">
        <w:rPr>
          <w:rFonts w:ascii="Times New Roman" w:eastAsia="Calibri" w:hAnsi="Times New Roman"/>
          <w:bCs/>
          <w:lang w:val="sr-Cyrl-RS"/>
        </w:rPr>
        <w:t>Голубац; изградњу пруге између Земун поља и Националног стадиона; модернизацију инфраструктуре основних школа; формирање и одржавање обавезних резерви нафте, деривата нафте и природног гаса; обнову и изградњу објеката јавне намене у области здравства; обнову и изградњу објеката јавне намене у области просвете и науке</w:t>
      </w:r>
      <w:r w:rsidR="007E529C">
        <w:rPr>
          <w:rFonts w:ascii="Times New Roman" w:eastAsia="Calibri" w:hAnsi="Times New Roman"/>
          <w:bCs/>
          <w:lang w:val="sr-Latn-RS"/>
        </w:rPr>
        <w:t xml:space="preserve">, </w:t>
      </w:r>
      <w:r w:rsidR="007E529C" w:rsidRPr="007E529C">
        <w:rPr>
          <w:rFonts w:ascii="Times New Roman" w:hAnsi="Times New Roman"/>
          <w:lang w:val="sr-Cyrl-RS"/>
        </w:rPr>
        <w:t>и</w:t>
      </w:r>
      <w:r w:rsidR="007E529C" w:rsidRPr="007E529C">
        <w:rPr>
          <w:rFonts w:ascii="Times New Roman" w:hAnsi="Times New Roman"/>
        </w:rPr>
        <w:t>мплементац</w:t>
      </w:r>
      <w:r w:rsidR="007E529C">
        <w:t>ија електронских регистара органа и организација јавне управе и људских ресурса у систему јавне управе</w:t>
      </w:r>
      <w:r w:rsidRPr="00E00086">
        <w:rPr>
          <w:rFonts w:ascii="Times New Roman" w:eastAsia="Calibri" w:hAnsi="Times New Roman"/>
          <w:bCs/>
          <w:lang w:val="sr-Cyrl-RS"/>
        </w:rPr>
        <w:t xml:space="preserve"> и др.</w:t>
      </w:r>
    </w:p>
    <w:p w14:paraId="79F6951C" w14:textId="77777777" w:rsidR="00FC5F3D" w:rsidRPr="00E00086" w:rsidRDefault="00FC5F3D" w:rsidP="00FC5F3D">
      <w:pPr>
        <w:ind w:firstLine="630"/>
        <w:rPr>
          <w:rFonts w:ascii="Times New Roman" w:hAnsi="Times New Roman"/>
          <w:lang w:val="sr-Cyrl-RS"/>
        </w:rPr>
      </w:pPr>
    </w:p>
    <w:p w14:paraId="73D324B1" w14:textId="05C2C3E7" w:rsidR="00FC5F3D" w:rsidRPr="00E00086" w:rsidRDefault="006A2E29" w:rsidP="00FC5F3D">
      <w:pPr>
        <w:ind w:firstLine="630"/>
        <w:rPr>
          <w:rFonts w:ascii="Times New Roman" w:hAnsi="Times New Roman"/>
          <w:lang w:val="sr-Cyrl-RS"/>
        </w:rPr>
      </w:pPr>
      <w:r>
        <w:rPr>
          <w:noProof/>
        </w:rPr>
        <w:lastRenderedPageBreak/>
        <w:drawing>
          <wp:inline distT="0" distB="0" distL="0" distR="0" wp14:anchorId="1BE220D4" wp14:editId="3C19DF69">
            <wp:extent cx="5294127" cy="3152775"/>
            <wp:effectExtent l="0" t="0" r="1905" b="0"/>
            <wp:docPr id="18169900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6965" cy="3166375"/>
                    </a:xfrm>
                    <a:prstGeom prst="rect">
                      <a:avLst/>
                    </a:prstGeom>
                    <a:noFill/>
                  </pic:spPr>
                </pic:pic>
              </a:graphicData>
            </a:graphic>
          </wp:inline>
        </w:drawing>
      </w:r>
    </w:p>
    <w:p w14:paraId="20EF3DBE" w14:textId="6A5B92B5" w:rsidR="00F26D4C" w:rsidRDefault="00F26D4C" w:rsidP="00AE772C">
      <w:pPr>
        <w:spacing w:after="160" w:line="252" w:lineRule="auto"/>
        <w:contextualSpacing/>
        <w:rPr>
          <w:rFonts w:ascii="Times New Roman" w:hAnsi="Times New Roman"/>
          <w:b/>
          <w:bCs/>
          <w:color w:val="000000"/>
          <w:lang w:val="sr-Latn-RS"/>
        </w:rPr>
      </w:pPr>
    </w:p>
    <w:p w14:paraId="24C2FE2D" w14:textId="7C92A5CA" w:rsidR="00CE2A83" w:rsidRPr="00E00086" w:rsidRDefault="00055153" w:rsidP="005954DE">
      <w:pPr>
        <w:spacing w:after="160" w:line="252" w:lineRule="auto"/>
        <w:ind w:firstLine="720"/>
        <w:contextualSpacing/>
        <w:rPr>
          <w:rFonts w:ascii="Times New Roman" w:hAnsi="Times New Roman"/>
          <w:szCs w:val="24"/>
          <w:lang w:val="sr-Cyrl-RS"/>
        </w:rPr>
      </w:pPr>
      <w:r w:rsidRPr="00E00086">
        <w:rPr>
          <w:rFonts w:ascii="Times New Roman" w:hAnsi="Times New Roman"/>
          <w:b/>
          <w:bCs/>
          <w:color w:val="000000"/>
          <w:lang w:val="sr-Cyrl-RS"/>
        </w:rPr>
        <w:t xml:space="preserve">Издаци за отплату главнице (у циљу спровођења јавних политика) </w:t>
      </w:r>
      <w:r w:rsidRPr="00E00086">
        <w:rPr>
          <w:rFonts w:ascii="Times New Roman" w:hAnsi="Times New Roman"/>
          <w:color w:val="000000"/>
          <w:szCs w:val="24"/>
          <w:lang w:val="sr-Cyrl-RS"/>
        </w:rPr>
        <w:t xml:space="preserve">планирани су у износу од </w:t>
      </w:r>
      <w:r w:rsidR="007B3C7A" w:rsidRPr="00E00086">
        <w:rPr>
          <w:rFonts w:ascii="Times New Roman" w:hAnsi="Times New Roman"/>
          <w:szCs w:val="24"/>
          <w:lang w:val="sr-Cyrl-RS"/>
        </w:rPr>
        <w:t>22,05</w:t>
      </w:r>
      <w:r w:rsidRPr="00E00086">
        <w:rPr>
          <w:rFonts w:ascii="Times New Roman" w:hAnsi="Times New Roman"/>
          <w:szCs w:val="24"/>
          <w:lang w:val="sr-Cyrl-RS"/>
        </w:rPr>
        <w:t xml:space="preserve"> млрд динара што представља </w:t>
      </w:r>
      <w:r w:rsidR="002D5F11" w:rsidRPr="00E00086">
        <w:rPr>
          <w:rFonts w:ascii="Times New Roman" w:hAnsi="Times New Roman"/>
          <w:szCs w:val="24"/>
          <w:lang w:val="sr-Cyrl-RS"/>
        </w:rPr>
        <w:t>0,83</w:t>
      </w:r>
      <w:r w:rsidR="00512FFC" w:rsidRPr="00E00086">
        <w:rPr>
          <w:rFonts w:ascii="Times New Roman" w:hAnsi="Times New Roman"/>
          <w:szCs w:val="24"/>
          <w:lang w:val="sr-Cyrl-RS"/>
        </w:rPr>
        <w:t>%</w:t>
      </w:r>
      <w:r w:rsidRPr="00E00086">
        <w:rPr>
          <w:rFonts w:ascii="Times New Roman" w:hAnsi="Times New Roman"/>
          <w:szCs w:val="24"/>
          <w:lang w:val="sr-Cyrl-RS"/>
        </w:rPr>
        <w:t xml:space="preserve"> укупних расхода и издатака</w:t>
      </w:r>
      <w:r w:rsidR="004A1DE2" w:rsidRPr="00E00086">
        <w:rPr>
          <w:rFonts w:ascii="Times New Roman" w:hAnsi="Times New Roman"/>
          <w:szCs w:val="24"/>
          <w:lang w:val="sr-Cyrl-RS"/>
        </w:rPr>
        <w:t>. Средства су планирана за плаћања по гаранцијама</w:t>
      </w:r>
      <w:r w:rsidR="00A640B2" w:rsidRPr="00E00086">
        <w:rPr>
          <w:rFonts w:ascii="Times New Roman" w:hAnsi="Times New Roman"/>
          <w:szCs w:val="24"/>
          <w:lang w:val="sr-Cyrl-RS"/>
        </w:rPr>
        <w:t>.</w:t>
      </w:r>
    </w:p>
    <w:p w14:paraId="72A825CB" w14:textId="6ECAA578" w:rsidR="0022147E" w:rsidRPr="00E00086" w:rsidRDefault="00CE2A83" w:rsidP="003617CA">
      <w:pPr>
        <w:ind w:firstLine="720"/>
        <w:rPr>
          <w:rFonts w:ascii="Calibri" w:hAnsi="Calibri" w:cs="Calibri"/>
          <w:color w:val="000000"/>
          <w:sz w:val="22"/>
          <w:szCs w:val="22"/>
          <w:lang w:val="sr-Cyrl-RS"/>
        </w:rPr>
      </w:pPr>
      <w:r w:rsidRPr="00E00086">
        <w:rPr>
          <w:rFonts w:ascii="Times New Roman" w:hAnsi="Times New Roman"/>
          <w:b/>
          <w:bCs/>
          <w:color w:val="000000"/>
          <w:lang w:val="sr-Cyrl-RS"/>
        </w:rPr>
        <w:t>Издаци за набавку финансијске имовине (у циљу спровођења јавних политика)</w:t>
      </w:r>
      <w:r w:rsidRPr="00E00086">
        <w:rPr>
          <w:rFonts w:ascii="Times New Roman" w:hAnsi="Times New Roman"/>
          <w:b/>
          <w:bCs/>
          <w:color w:val="000000"/>
          <w:szCs w:val="24"/>
          <w:lang w:val="sr-Cyrl-RS"/>
        </w:rPr>
        <w:t xml:space="preserve"> </w:t>
      </w:r>
      <w:r w:rsidRPr="00F61DD8">
        <w:rPr>
          <w:rFonts w:ascii="Times New Roman" w:hAnsi="Times New Roman"/>
          <w:color w:val="000000"/>
          <w:szCs w:val="24"/>
          <w:lang w:val="sr-Cyrl-RS"/>
        </w:rPr>
        <w:t xml:space="preserve">планирани су у износу од </w:t>
      </w:r>
      <w:r w:rsidR="000B6492" w:rsidRPr="00F61DD8">
        <w:rPr>
          <w:rFonts w:ascii="Times New Roman" w:hAnsi="Times New Roman"/>
          <w:szCs w:val="24"/>
          <w:lang w:val="sr-Cyrl-RS"/>
        </w:rPr>
        <w:t>23,45</w:t>
      </w:r>
      <w:r w:rsidR="0061597A" w:rsidRPr="00F61DD8">
        <w:rPr>
          <w:rFonts w:ascii="Times New Roman" w:hAnsi="Times New Roman"/>
          <w:szCs w:val="24"/>
          <w:lang w:val="sr-Cyrl-RS"/>
        </w:rPr>
        <w:t xml:space="preserve"> </w:t>
      </w:r>
      <w:r w:rsidRPr="00F61DD8">
        <w:rPr>
          <w:rFonts w:ascii="Times New Roman" w:hAnsi="Times New Roman"/>
          <w:szCs w:val="24"/>
          <w:lang w:val="sr-Cyrl-RS"/>
        </w:rPr>
        <w:t xml:space="preserve">млрд динара, што представља </w:t>
      </w:r>
      <w:r w:rsidR="002D5F11" w:rsidRPr="00F61DD8">
        <w:rPr>
          <w:rFonts w:ascii="Times New Roman" w:hAnsi="Times New Roman"/>
          <w:szCs w:val="24"/>
          <w:lang w:val="sr-Cyrl-RS"/>
        </w:rPr>
        <w:t>0,88</w:t>
      </w:r>
      <w:r w:rsidR="00512FFC" w:rsidRPr="00F61DD8">
        <w:rPr>
          <w:rFonts w:ascii="Times New Roman" w:hAnsi="Times New Roman"/>
          <w:szCs w:val="24"/>
          <w:lang w:val="sr-Cyrl-RS"/>
        </w:rPr>
        <w:t>%</w:t>
      </w:r>
      <w:r w:rsidRPr="00F61DD8">
        <w:rPr>
          <w:rFonts w:ascii="Times New Roman" w:hAnsi="Times New Roman"/>
          <w:szCs w:val="24"/>
          <w:lang w:val="sr-Cyrl-RS"/>
        </w:rPr>
        <w:t xml:space="preserve"> укупних расхода и издатака. Највећи износ</w:t>
      </w:r>
      <w:r w:rsidR="0022147E" w:rsidRPr="00F61DD8">
        <w:rPr>
          <w:rFonts w:ascii="Times New Roman" w:hAnsi="Times New Roman"/>
          <w:szCs w:val="24"/>
          <w:lang w:val="sr-Cyrl-RS"/>
        </w:rPr>
        <w:t xml:space="preserve"> средстава</w:t>
      </w:r>
      <w:r w:rsidRPr="00F61DD8">
        <w:rPr>
          <w:rFonts w:ascii="Times New Roman" w:hAnsi="Times New Roman"/>
          <w:szCs w:val="24"/>
          <w:lang w:val="sr-Cyrl-RS"/>
        </w:rPr>
        <w:t xml:space="preserve"> планиран</w:t>
      </w:r>
      <w:r w:rsidR="0022147E" w:rsidRPr="00F61DD8">
        <w:rPr>
          <w:rFonts w:ascii="Times New Roman" w:hAnsi="Times New Roman"/>
          <w:szCs w:val="24"/>
          <w:lang w:val="sr-Cyrl-RS"/>
        </w:rPr>
        <w:t xml:space="preserve"> је</w:t>
      </w:r>
      <w:r w:rsidRPr="00F61DD8">
        <w:rPr>
          <w:rFonts w:ascii="Times New Roman" w:hAnsi="Times New Roman"/>
          <w:szCs w:val="24"/>
          <w:lang w:val="sr-Cyrl-RS"/>
        </w:rPr>
        <w:t xml:space="preserve"> за</w:t>
      </w:r>
      <w:r w:rsidR="00F550E8" w:rsidRPr="00F61DD8">
        <w:rPr>
          <w:rFonts w:ascii="Times New Roman" w:hAnsi="Times New Roman"/>
          <w:szCs w:val="24"/>
          <w:lang w:val="sr-Cyrl-RS"/>
        </w:rPr>
        <w:t>:</w:t>
      </w:r>
      <w:r w:rsidR="0022147E" w:rsidRPr="00F61DD8">
        <w:rPr>
          <w:rFonts w:ascii="Times New Roman" w:hAnsi="Times New Roman"/>
          <w:bCs/>
          <w:lang w:val="sr-Cyrl-RS"/>
        </w:rPr>
        <w:t xml:space="preserve"> </w:t>
      </w:r>
      <w:r w:rsidR="0060051B" w:rsidRPr="00F61DD8">
        <w:rPr>
          <w:rFonts w:ascii="Times New Roman" w:hAnsi="Times New Roman"/>
          <w:bCs/>
          <w:lang w:val="sr-Cyrl-RS"/>
        </w:rPr>
        <w:t>функционисање МО и ВС; подршку реализацији EXPO Београд 2027</w:t>
      </w:r>
      <w:r w:rsidR="00146342" w:rsidRPr="00F61DD8">
        <w:rPr>
          <w:rFonts w:ascii="Times New Roman" w:hAnsi="Times New Roman"/>
          <w:bCs/>
          <w:lang w:val="sr-Cyrl-RS"/>
        </w:rPr>
        <w:t>;</w:t>
      </w:r>
      <w:r w:rsidR="0060051B" w:rsidRPr="00F61DD8">
        <w:rPr>
          <w:rFonts w:ascii="Times New Roman" w:hAnsi="Times New Roman"/>
          <w:bCs/>
          <w:lang w:val="sr-Cyrl-RS"/>
        </w:rPr>
        <w:t xml:space="preserve"> </w:t>
      </w:r>
      <w:r w:rsidR="00914BA7" w:rsidRPr="00F61DD8">
        <w:rPr>
          <w:rFonts w:ascii="Times New Roman" w:hAnsi="Times New Roman"/>
          <w:bCs/>
          <w:lang w:val="sr-Cyrl-RS"/>
        </w:rPr>
        <w:t xml:space="preserve">кредитну подршку предузећима у поступку приватизације; </w:t>
      </w:r>
      <w:r w:rsidR="003617CA" w:rsidRPr="00F61DD8">
        <w:rPr>
          <w:rFonts w:ascii="Times New Roman" w:hAnsi="Times New Roman"/>
          <w:lang w:val="sr-Cyrl-RS"/>
        </w:rPr>
        <w:t>формирање и одржавање обавезних резерви нафте</w:t>
      </w:r>
      <w:r w:rsidR="003617CA" w:rsidRPr="00E00086">
        <w:rPr>
          <w:rFonts w:ascii="Times New Roman" w:hAnsi="Times New Roman"/>
          <w:lang w:val="sr-Cyrl-RS"/>
        </w:rPr>
        <w:t>, деривата нафте и природног гаса и др.</w:t>
      </w:r>
    </w:p>
    <w:p w14:paraId="5D7EBC67" w14:textId="77777777" w:rsidR="00833644" w:rsidRPr="00E00086" w:rsidRDefault="00833644" w:rsidP="00DF5008">
      <w:pPr>
        <w:spacing w:after="160" w:line="252" w:lineRule="auto"/>
        <w:contextualSpacing/>
        <w:rPr>
          <w:rFonts w:ascii="Times New Roman" w:hAnsi="Times New Roman"/>
          <w:szCs w:val="24"/>
          <w:highlight w:val="yellow"/>
          <w:lang w:val="sr-Cyrl-RS"/>
        </w:rPr>
      </w:pPr>
    </w:p>
    <w:p w14:paraId="210BE1D5" w14:textId="70C75928" w:rsidR="007104F0" w:rsidRPr="00E00086" w:rsidRDefault="00055153" w:rsidP="00845DE2">
      <w:pPr>
        <w:tabs>
          <w:tab w:val="left" w:pos="720"/>
        </w:tabs>
        <w:spacing w:after="120" w:line="276" w:lineRule="auto"/>
        <w:rPr>
          <w:rStyle w:val="CharCharChar5"/>
          <w:rFonts w:ascii="Times New Roman" w:hAnsi="Times New Roman"/>
          <w:b/>
          <w:szCs w:val="24"/>
          <w:lang w:val="sr-Cyrl-RS"/>
        </w:rPr>
      </w:pPr>
      <w:r w:rsidRPr="00E00086">
        <w:rPr>
          <w:rFonts w:ascii="Times New Roman" w:hAnsi="Times New Roman"/>
          <w:b/>
          <w:bCs/>
          <w:color w:val="000000"/>
          <w:lang w:val="sr-Cyrl-RS"/>
        </w:rPr>
        <w:tab/>
      </w:r>
      <w:r w:rsidR="007104F0" w:rsidRPr="00E00086">
        <w:rPr>
          <w:rStyle w:val="CharCharChar5"/>
          <w:rFonts w:ascii="Times New Roman" w:hAnsi="Times New Roman"/>
          <w:b/>
          <w:szCs w:val="24"/>
          <w:lang w:val="sr-Cyrl-RS"/>
        </w:rPr>
        <w:t>III. ОБРАЗЛОЖЕЊЕ ПРЕДЛОГА ПОТРЕБНИХ СРЕДСТАВА ПО КОРИСНИЦИМА БУЏЕТА</w:t>
      </w:r>
    </w:p>
    <w:p w14:paraId="5FE36CDD" w14:textId="77777777" w:rsidR="007104F0" w:rsidRPr="00E00086" w:rsidRDefault="00AF0FD8" w:rsidP="004416D9">
      <w:pPr>
        <w:tabs>
          <w:tab w:val="left" w:pos="720"/>
        </w:tabs>
        <w:outlineLvl w:val="0"/>
        <w:rPr>
          <w:rFonts w:ascii="Times New Roman" w:hAnsi="Times New Roman"/>
          <w:szCs w:val="24"/>
          <w:lang w:val="sr-Cyrl-RS"/>
        </w:rPr>
      </w:pPr>
      <w:r w:rsidRPr="00E00086">
        <w:rPr>
          <w:rStyle w:val="CharCharChar5"/>
          <w:rFonts w:ascii="Times New Roman" w:hAnsi="Times New Roman"/>
          <w:szCs w:val="24"/>
          <w:lang w:val="sr-Cyrl-RS"/>
        </w:rPr>
        <w:tab/>
      </w:r>
      <w:r w:rsidR="007104F0" w:rsidRPr="00E00086">
        <w:rPr>
          <w:rStyle w:val="CharCharChar5"/>
          <w:rFonts w:ascii="Times New Roman" w:hAnsi="Times New Roman"/>
          <w:szCs w:val="24"/>
          <w:lang w:val="sr-Cyrl-RS"/>
        </w:rPr>
        <w:t>У буџетској процедури Министарство финансија разматра захтеве корисника буџетских средстава садржане у предлозима њихових финансијских планова, који су у складу са Законом о буџетском систему исказани</w:t>
      </w:r>
      <w:r w:rsidR="007104F0" w:rsidRPr="00E00086">
        <w:rPr>
          <w:rFonts w:ascii="Times New Roman" w:hAnsi="Times New Roman"/>
          <w:szCs w:val="24"/>
          <w:lang w:val="sr-Cyrl-RS"/>
        </w:rPr>
        <w:t xml:space="preserve"> на програмски начин</w:t>
      </w:r>
      <w:r w:rsidR="007104F0" w:rsidRPr="00E00086">
        <w:rPr>
          <w:rStyle w:val="CharCharChar5"/>
          <w:rFonts w:ascii="Times New Roman" w:hAnsi="Times New Roman"/>
          <w:szCs w:val="24"/>
          <w:lang w:val="sr-Cyrl-RS"/>
        </w:rPr>
        <w:t>.</w:t>
      </w:r>
    </w:p>
    <w:p w14:paraId="32D434E0" w14:textId="77777777" w:rsidR="00692D32" w:rsidRPr="00E00086" w:rsidRDefault="00C64AC3" w:rsidP="004416D9">
      <w:pPr>
        <w:tabs>
          <w:tab w:val="left" w:pos="720"/>
        </w:tabs>
        <w:outlineLvl w:val="0"/>
        <w:rPr>
          <w:rFonts w:ascii="Times New Roman" w:hAnsi="Times New Roman"/>
          <w:szCs w:val="24"/>
          <w:lang w:val="sr-Cyrl-RS"/>
        </w:rPr>
      </w:pPr>
      <w:r w:rsidRPr="00E00086">
        <w:rPr>
          <w:rStyle w:val="CharCharChar5"/>
          <w:rFonts w:ascii="Times New Roman" w:hAnsi="Times New Roman"/>
          <w:szCs w:val="24"/>
          <w:lang w:val="sr-Cyrl-RS"/>
        </w:rPr>
        <w:tab/>
      </w:r>
      <w:r w:rsidR="007104F0" w:rsidRPr="00E00086">
        <w:rPr>
          <w:rStyle w:val="CharCharChar5"/>
          <w:rFonts w:ascii="Times New Roman" w:hAnsi="Times New Roman"/>
          <w:szCs w:val="24"/>
          <w:lang w:val="sr-Cyrl-RS"/>
        </w:rPr>
        <w:t>Програмски буџет распоређује буџетска средстава према намени. Овако представљени расходи омогућавају лакше праћење ефеката утрошених средстава као и евалуацију да ли се средства троше у складу са циљевима Владе.</w:t>
      </w:r>
      <w:r w:rsidR="00633B47" w:rsidRPr="00E00086">
        <w:rPr>
          <w:rStyle w:val="CharCharChar5"/>
          <w:rFonts w:ascii="Times New Roman" w:hAnsi="Times New Roman"/>
          <w:szCs w:val="24"/>
          <w:lang w:val="sr-Cyrl-RS"/>
        </w:rPr>
        <w:t xml:space="preserve"> </w:t>
      </w:r>
      <w:r w:rsidR="00CC7515" w:rsidRPr="00E00086">
        <w:rPr>
          <w:rFonts w:ascii="Times New Roman" w:hAnsi="Times New Roman"/>
          <w:szCs w:val="24"/>
          <w:lang w:val="sr-Cyrl-RS"/>
        </w:rPr>
        <w:t>Такође, програмски</w:t>
      </w:r>
      <w:r w:rsidR="00692D32" w:rsidRPr="00E00086">
        <w:rPr>
          <w:rFonts w:ascii="Times New Roman" w:hAnsi="Times New Roman"/>
          <w:szCs w:val="24"/>
          <w:lang w:val="sr-Cyrl-RS"/>
        </w:rPr>
        <w:t xml:space="preserve"> буџет oмoгућaвa бoљe упрaвљaњe учинкoм jaвнe упрaвe, вeћу oдгoвoрнoст кoрисникa буџета, успoстaвљaњe снaжниjих вeзa измeђу гoдишњeг буџeтa, утврђивања приоритетних рaсхoдa и издатака и спровођења jaвних пoлитикa, кao и вeћу трaнспaрeнтнoст пoтрoшњe.</w:t>
      </w:r>
    </w:p>
    <w:p w14:paraId="5285963B" w14:textId="3D78172C" w:rsidR="00F26D4C" w:rsidRPr="00F030BB" w:rsidRDefault="00C64AC3" w:rsidP="004416D9">
      <w:pPr>
        <w:tabs>
          <w:tab w:val="left" w:pos="720"/>
        </w:tabs>
        <w:rPr>
          <w:rFonts w:ascii="Times New Roman" w:hAnsi="Times New Roman"/>
          <w:szCs w:val="24"/>
          <w:lang w:val="sr-Latn-RS"/>
        </w:rPr>
      </w:pPr>
      <w:r w:rsidRPr="00E00086">
        <w:rPr>
          <w:rFonts w:ascii="Times New Roman" w:hAnsi="Times New Roman"/>
          <w:szCs w:val="24"/>
          <w:lang w:val="sr-Cyrl-RS"/>
        </w:rPr>
        <w:tab/>
      </w:r>
      <w:r w:rsidR="007104F0" w:rsidRPr="00E00086">
        <w:rPr>
          <w:rFonts w:ascii="Times New Roman" w:hAnsi="Times New Roman"/>
          <w:szCs w:val="24"/>
          <w:lang w:val="sr-Cyrl-RS"/>
        </w:rPr>
        <w:t xml:space="preserve">У </w:t>
      </w:r>
      <w:r w:rsidR="006F117C" w:rsidRPr="00E00086">
        <w:rPr>
          <w:rFonts w:ascii="Times New Roman" w:hAnsi="Times New Roman"/>
          <w:szCs w:val="24"/>
          <w:lang w:val="sr-Cyrl-RS"/>
        </w:rPr>
        <w:t>делу Образложење -</w:t>
      </w:r>
      <w:r w:rsidR="00A61662" w:rsidRPr="00E00086">
        <w:rPr>
          <w:rFonts w:ascii="Times New Roman" w:hAnsi="Times New Roman"/>
          <w:szCs w:val="24"/>
          <w:lang w:val="sr-Cyrl-RS"/>
        </w:rPr>
        <w:t xml:space="preserve"> Програмске информације</w:t>
      </w:r>
      <w:r w:rsidR="007104F0" w:rsidRPr="00E00086">
        <w:rPr>
          <w:rFonts w:ascii="Times New Roman" w:hAnsi="Times New Roman"/>
          <w:szCs w:val="24"/>
          <w:lang w:val="sr-Cyrl-RS"/>
        </w:rPr>
        <w:t xml:space="preserve"> </w:t>
      </w:r>
      <w:r w:rsidR="00A61662" w:rsidRPr="00E00086">
        <w:rPr>
          <w:rFonts w:ascii="Times New Roman" w:hAnsi="Times New Roman"/>
          <w:szCs w:val="24"/>
          <w:lang w:val="sr-Cyrl-RS"/>
        </w:rPr>
        <w:t>налазе се</w:t>
      </w:r>
      <w:r w:rsidR="007104F0" w:rsidRPr="00E00086">
        <w:rPr>
          <w:rFonts w:ascii="Times New Roman" w:hAnsi="Times New Roman"/>
          <w:szCs w:val="24"/>
          <w:lang w:val="sr-Cyrl-RS"/>
        </w:rPr>
        <w:t xml:space="preserve"> образложења програмских структура које су доставили буџетски корисници уз предлоге финансијских планова.</w:t>
      </w:r>
    </w:p>
    <w:p w14:paraId="016904E1" w14:textId="77777777" w:rsidR="00F26D4C" w:rsidRDefault="00F26D4C" w:rsidP="004416D9">
      <w:pPr>
        <w:tabs>
          <w:tab w:val="left" w:pos="720"/>
        </w:tabs>
        <w:rPr>
          <w:rFonts w:ascii="Times New Roman" w:hAnsi="Times New Roman"/>
          <w:szCs w:val="24"/>
          <w:lang w:val="sr-Latn-RS"/>
        </w:rPr>
      </w:pPr>
    </w:p>
    <w:p w14:paraId="31B43E70" w14:textId="34ECD420" w:rsidR="00C76D4C" w:rsidRPr="00E00086" w:rsidRDefault="00F26D4C" w:rsidP="004416D9">
      <w:pPr>
        <w:tabs>
          <w:tab w:val="left" w:pos="720"/>
        </w:tabs>
        <w:rPr>
          <w:rFonts w:ascii="Times New Roman" w:hAnsi="Times New Roman"/>
          <w:b/>
          <w:bCs/>
          <w:szCs w:val="24"/>
          <w:lang w:val="sr-Cyrl-RS"/>
        </w:rPr>
      </w:pPr>
      <w:r>
        <w:rPr>
          <w:rFonts w:ascii="Times New Roman" w:hAnsi="Times New Roman"/>
          <w:szCs w:val="24"/>
          <w:lang w:val="sr-Latn-RS"/>
        </w:rPr>
        <w:tab/>
      </w:r>
      <w:r w:rsidR="00C76D4C" w:rsidRPr="00E00086">
        <w:rPr>
          <w:rFonts w:ascii="Times New Roman" w:hAnsi="Times New Roman"/>
          <w:b/>
          <w:bCs/>
          <w:szCs w:val="24"/>
          <w:lang w:val="sr-Cyrl-RS"/>
        </w:rPr>
        <w:t>IV. ПРИЛОЗИ УЗ БУЏЕТСКУ ДОКУМЕНТАЦИЈУ</w:t>
      </w:r>
    </w:p>
    <w:p w14:paraId="4F68120B" w14:textId="77777777" w:rsidR="00FD2968" w:rsidRPr="00E00086" w:rsidRDefault="00FD2968" w:rsidP="004416D9">
      <w:pPr>
        <w:tabs>
          <w:tab w:val="left" w:pos="720"/>
        </w:tabs>
        <w:rPr>
          <w:rFonts w:ascii="Times New Roman" w:hAnsi="Times New Roman"/>
          <w:b/>
          <w:bCs/>
          <w:szCs w:val="24"/>
          <w:lang w:val="sr-Cyrl-RS"/>
        </w:rPr>
      </w:pPr>
    </w:p>
    <w:p w14:paraId="5920D8F7" w14:textId="1D530DBF" w:rsidR="00C76D4C" w:rsidRPr="00F61DD8" w:rsidRDefault="00C76D4C" w:rsidP="004416D9">
      <w:pPr>
        <w:tabs>
          <w:tab w:val="left" w:pos="720"/>
        </w:tabs>
        <w:rPr>
          <w:rFonts w:ascii="Times New Roman" w:hAnsi="Times New Roman"/>
          <w:szCs w:val="24"/>
          <w:lang w:val="sr-Cyrl-RS"/>
        </w:rPr>
      </w:pPr>
      <w:r w:rsidRPr="00E00086">
        <w:rPr>
          <w:rFonts w:ascii="Times New Roman" w:hAnsi="Times New Roman"/>
          <w:szCs w:val="24"/>
          <w:lang w:val="sr-Cyrl-RS"/>
        </w:rPr>
        <w:tab/>
      </w:r>
      <w:r w:rsidRPr="00F61DD8">
        <w:rPr>
          <w:rFonts w:ascii="Times New Roman" w:hAnsi="Times New Roman"/>
          <w:szCs w:val="24"/>
          <w:lang w:val="sr-Cyrl-RS"/>
        </w:rPr>
        <w:t xml:space="preserve">Саставни део буџетске документације чини Прилог 1 </w:t>
      </w:r>
      <w:r w:rsidR="00FD2968" w:rsidRPr="00F61DD8">
        <w:rPr>
          <w:rFonts w:ascii="Times New Roman" w:hAnsi="Times New Roman"/>
          <w:szCs w:val="24"/>
          <w:lang w:val="sr-Cyrl-RS"/>
        </w:rPr>
        <w:t>-</w:t>
      </w:r>
      <w:r w:rsidRPr="00F61DD8">
        <w:rPr>
          <w:rFonts w:ascii="Times New Roman" w:hAnsi="Times New Roman"/>
          <w:szCs w:val="24"/>
          <w:lang w:val="sr-Cyrl-RS"/>
        </w:rPr>
        <w:t xml:space="preserve"> </w:t>
      </w:r>
      <w:r w:rsidR="00910C35" w:rsidRPr="00F61DD8">
        <w:rPr>
          <w:rFonts w:ascii="Times New Roman" w:hAnsi="Times New Roman"/>
          <w:szCs w:val="24"/>
          <w:lang w:val="sr-Cyrl-RS"/>
        </w:rPr>
        <w:t xml:space="preserve">Преглед планираних средстава у буџету Републике Србије која имају позитиван утицај на заштиту животне средине </w:t>
      </w:r>
      <w:r w:rsidR="00FD2968" w:rsidRPr="00F61DD8">
        <w:rPr>
          <w:rFonts w:ascii="Times New Roman" w:hAnsi="Times New Roman"/>
          <w:szCs w:val="24"/>
          <w:lang w:val="sr-Cyrl-RS"/>
        </w:rPr>
        <w:t>-</w:t>
      </w:r>
      <w:r w:rsidR="00910C35" w:rsidRPr="00F61DD8">
        <w:rPr>
          <w:rFonts w:ascii="Times New Roman" w:hAnsi="Times New Roman"/>
          <w:szCs w:val="24"/>
          <w:lang w:val="sr-Cyrl-RS"/>
        </w:rPr>
        <w:t xml:space="preserve"> „Зелени буџет</w:t>
      </w:r>
      <w:r w:rsidR="001A3493" w:rsidRPr="00F61DD8">
        <w:rPr>
          <w:rFonts w:ascii="Times New Roman" w:hAnsi="Times New Roman"/>
          <w:szCs w:val="24"/>
          <w:lang w:val="sr-Cyrl-RS"/>
        </w:rPr>
        <w:t>ˮ</w:t>
      </w:r>
      <w:r w:rsidR="00910C35" w:rsidRPr="00F61DD8">
        <w:rPr>
          <w:rFonts w:ascii="Times New Roman" w:hAnsi="Times New Roman"/>
          <w:szCs w:val="24"/>
          <w:lang w:val="sr-Cyrl-RS"/>
        </w:rPr>
        <w:t xml:space="preserve"> и Прилог 1а </w:t>
      </w:r>
      <w:r w:rsidR="00FD2968" w:rsidRPr="00F61DD8">
        <w:rPr>
          <w:rFonts w:ascii="Times New Roman" w:hAnsi="Times New Roman"/>
          <w:szCs w:val="24"/>
          <w:lang w:val="sr-Cyrl-RS"/>
        </w:rPr>
        <w:t>-</w:t>
      </w:r>
      <w:r w:rsidR="00910C35" w:rsidRPr="00F61DD8">
        <w:rPr>
          <w:rFonts w:ascii="Times New Roman" w:hAnsi="Times New Roman"/>
          <w:szCs w:val="24"/>
          <w:lang w:val="sr-Cyrl-RS"/>
        </w:rPr>
        <w:t xml:space="preserve"> Табеларни преглед пројеката.</w:t>
      </w:r>
    </w:p>
    <w:p w14:paraId="27B4E2B4" w14:textId="4ADD49C6" w:rsidR="00C76D4C" w:rsidRPr="00E00086" w:rsidRDefault="00910C35" w:rsidP="004416D9">
      <w:pPr>
        <w:tabs>
          <w:tab w:val="left" w:pos="720"/>
        </w:tabs>
        <w:rPr>
          <w:rFonts w:ascii="Times New Roman" w:hAnsi="Times New Roman"/>
          <w:szCs w:val="24"/>
          <w:lang w:val="sr-Cyrl-RS"/>
        </w:rPr>
      </w:pPr>
      <w:r w:rsidRPr="00F61DD8">
        <w:rPr>
          <w:rFonts w:ascii="Times New Roman" w:hAnsi="Times New Roman"/>
          <w:szCs w:val="24"/>
          <w:lang w:val="sr-Cyrl-RS"/>
        </w:rPr>
        <w:tab/>
        <w:t xml:space="preserve">Такође, </w:t>
      </w:r>
      <w:r w:rsidR="00285452" w:rsidRPr="00F61DD8">
        <w:rPr>
          <w:rFonts w:ascii="Times New Roman" w:hAnsi="Times New Roman"/>
          <w:szCs w:val="24"/>
          <w:lang w:val="sr-Cyrl-RS"/>
        </w:rPr>
        <w:t>део буџетске документације чине</w:t>
      </w:r>
      <w:r w:rsidRPr="00F61DD8">
        <w:rPr>
          <w:rFonts w:ascii="Times New Roman" w:hAnsi="Times New Roman"/>
          <w:szCs w:val="24"/>
          <w:lang w:val="sr-Cyrl-RS"/>
        </w:rPr>
        <w:t xml:space="preserve"> Прилог 2 - </w:t>
      </w:r>
      <w:r w:rsidR="00C76D4C" w:rsidRPr="00F61DD8">
        <w:rPr>
          <w:rFonts w:ascii="Times New Roman" w:hAnsi="Times New Roman"/>
          <w:szCs w:val="24"/>
          <w:lang w:val="sr-Cyrl-RS"/>
        </w:rPr>
        <w:t>Извештај о извршењу буџета Републике Србије за период јануар</w:t>
      </w:r>
      <w:r w:rsidRPr="00F61DD8">
        <w:rPr>
          <w:rFonts w:ascii="Times New Roman" w:hAnsi="Times New Roman"/>
          <w:szCs w:val="24"/>
          <w:lang w:val="sr-Cyrl-RS"/>
        </w:rPr>
        <w:t>-децембар 2023. год</w:t>
      </w:r>
      <w:r w:rsidR="00701DCC" w:rsidRPr="00F61DD8">
        <w:rPr>
          <w:rFonts w:ascii="Times New Roman" w:hAnsi="Times New Roman"/>
          <w:szCs w:val="24"/>
          <w:lang w:val="sr-Cyrl-RS"/>
        </w:rPr>
        <w:t>ине</w:t>
      </w:r>
      <w:r w:rsidRPr="00F61DD8">
        <w:rPr>
          <w:rFonts w:ascii="Times New Roman" w:hAnsi="Times New Roman"/>
          <w:szCs w:val="24"/>
          <w:lang w:val="sr-Cyrl-RS"/>
        </w:rPr>
        <w:t xml:space="preserve"> и Прилог 3 - Извештај о извршењу буџета Републике Србије за период јануар</w:t>
      </w:r>
      <w:r w:rsidRPr="009B7714">
        <w:rPr>
          <w:rFonts w:ascii="Times New Roman" w:hAnsi="Times New Roman"/>
          <w:szCs w:val="24"/>
          <w:lang w:val="sr-Cyrl-RS"/>
        </w:rPr>
        <w:t>-септембар</w:t>
      </w:r>
      <w:r w:rsidRPr="00F61DD8">
        <w:rPr>
          <w:rFonts w:ascii="Times New Roman" w:hAnsi="Times New Roman"/>
          <w:szCs w:val="24"/>
          <w:lang w:val="sr-Cyrl-RS"/>
        </w:rPr>
        <w:t xml:space="preserve"> 2024. год</w:t>
      </w:r>
      <w:r w:rsidR="00065FD4" w:rsidRPr="00F61DD8">
        <w:rPr>
          <w:rFonts w:ascii="Times New Roman" w:hAnsi="Times New Roman"/>
          <w:szCs w:val="24"/>
          <w:lang w:val="sr-Cyrl-RS"/>
        </w:rPr>
        <w:t>ине.</w:t>
      </w:r>
    </w:p>
    <w:p w14:paraId="23EB618D" w14:textId="5EE02BDB" w:rsidR="00FE4096" w:rsidRPr="00E00086" w:rsidRDefault="00FE4096" w:rsidP="00AF0FD8">
      <w:pPr>
        <w:tabs>
          <w:tab w:val="left" w:pos="720"/>
        </w:tabs>
        <w:rPr>
          <w:rFonts w:ascii="Times New Roman" w:hAnsi="Times New Roman"/>
          <w:b/>
          <w:szCs w:val="24"/>
          <w:lang w:val="sr-Cyrl-RS"/>
        </w:rPr>
      </w:pPr>
    </w:p>
    <w:p w14:paraId="56D42683" w14:textId="180A2F5F" w:rsidR="007104F0" w:rsidRPr="00E00086" w:rsidRDefault="00FE4096" w:rsidP="00AF0FD8">
      <w:pPr>
        <w:tabs>
          <w:tab w:val="left" w:pos="720"/>
        </w:tabs>
        <w:rPr>
          <w:rFonts w:ascii="Times New Roman" w:hAnsi="Times New Roman"/>
          <w:szCs w:val="24"/>
          <w:lang w:val="sr-Cyrl-RS"/>
        </w:rPr>
      </w:pPr>
      <w:r w:rsidRPr="00E00086">
        <w:rPr>
          <w:rFonts w:ascii="Times New Roman" w:hAnsi="Times New Roman"/>
          <w:b/>
          <w:szCs w:val="24"/>
          <w:lang w:val="sr-Cyrl-RS"/>
        </w:rPr>
        <w:tab/>
      </w:r>
      <w:r w:rsidR="007104F0" w:rsidRPr="00E00086">
        <w:rPr>
          <w:rFonts w:ascii="Times New Roman" w:hAnsi="Times New Roman"/>
          <w:b/>
          <w:szCs w:val="24"/>
          <w:lang w:val="sr-Cyrl-RS"/>
        </w:rPr>
        <w:t>V. РАЗЛОЗИ ЗА РАНИЈЕ СТУПАЊЕ НА СНАГУ ЗАКОНА</w:t>
      </w:r>
    </w:p>
    <w:p w14:paraId="49243AA2" w14:textId="77777777" w:rsidR="00AD2BC3" w:rsidRPr="00E00086" w:rsidRDefault="00AD2BC3" w:rsidP="008A0FF7">
      <w:pPr>
        <w:outlineLvl w:val="0"/>
        <w:rPr>
          <w:rFonts w:ascii="Times New Roman" w:hAnsi="Times New Roman"/>
          <w:szCs w:val="24"/>
          <w:lang w:val="sr-Cyrl-RS"/>
        </w:rPr>
      </w:pPr>
    </w:p>
    <w:p w14:paraId="7055A0EA" w14:textId="3F371F8F" w:rsidR="002B6A77" w:rsidRPr="00E00086" w:rsidRDefault="005606E5" w:rsidP="008A0FF7">
      <w:pPr>
        <w:outlineLvl w:val="0"/>
        <w:rPr>
          <w:rFonts w:ascii="Times New Roman" w:hAnsi="Times New Roman"/>
          <w:szCs w:val="24"/>
          <w:lang w:val="sr-Cyrl-RS"/>
        </w:rPr>
      </w:pPr>
      <w:r w:rsidRPr="00E00086">
        <w:rPr>
          <w:rFonts w:ascii="Times New Roman" w:hAnsi="Times New Roman"/>
          <w:szCs w:val="24"/>
          <w:lang w:val="sr-Cyrl-RS"/>
        </w:rPr>
        <w:tab/>
      </w:r>
      <w:r w:rsidR="00382DFF" w:rsidRPr="00E00086">
        <w:rPr>
          <w:rFonts w:ascii="Times New Roman" w:hAnsi="Times New Roman"/>
          <w:szCs w:val="24"/>
          <w:lang w:val="sr-Cyrl-RS"/>
        </w:rPr>
        <w:t>Прe</w:t>
      </w:r>
      <w:r w:rsidR="007104F0" w:rsidRPr="00E00086">
        <w:rPr>
          <w:rFonts w:ascii="Times New Roman" w:hAnsi="Times New Roman"/>
          <w:szCs w:val="24"/>
          <w:lang w:val="sr-Cyrl-RS"/>
        </w:rPr>
        <w:t>длаже се да овај закон ступи на снагу наредног дана од дана објављивања у „Службеном гласнику Р</w:t>
      </w:r>
      <w:r w:rsidR="00D857CF" w:rsidRPr="00E00086">
        <w:rPr>
          <w:rFonts w:ascii="Times New Roman" w:hAnsi="Times New Roman"/>
          <w:szCs w:val="24"/>
          <w:lang w:val="sr-Cyrl-RS"/>
        </w:rPr>
        <w:t xml:space="preserve">епублике </w:t>
      </w:r>
      <w:r w:rsidR="007104F0" w:rsidRPr="00E00086">
        <w:rPr>
          <w:rFonts w:ascii="Times New Roman" w:hAnsi="Times New Roman"/>
          <w:szCs w:val="24"/>
          <w:lang w:val="sr-Cyrl-RS"/>
        </w:rPr>
        <w:t>С</w:t>
      </w:r>
      <w:r w:rsidR="00D857CF" w:rsidRPr="00E00086">
        <w:rPr>
          <w:rFonts w:ascii="Times New Roman" w:hAnsi="Times New Roman"/>
          <w:szCs w:val="24"/>
          <w:lang w:val="sr-Cyrl-RS"/>
        </w:rPr>
        <w:t>рбије</w:t>
      </w:r>
      <w:r w:rsidR="007104F0" w:rsidRPr="00E00086">
        <w:rPr>
          <w:rFonts w:ascii="Times New Roman" w:hAnsi="Times New Roman"/>
          <w:szCs w:val="24"/>
          <w:lang w:val="sr-Cyrl-RS"/>
        </w:rPr>
        <w:t>”. Нарочито оправдани разлози за раније ступање на снагу овог закона, у смислу члана 196. Устава Републике Србије, састоје се у потреби да се обезбеди несметано функционисање и финансирање државних органа и организација. Стога је ради обезбеђења финансирања остваривања права и дужности Републике утврђених Уставом и законом, потребно да се омогући несметано извршавање расхода, с обзиром да фискална година почиње од 1. јануара 20</w:t>
      </w:r>
      <w:r w:rsidR="00FC0AD3" w:rsidRPr="00E00086">
        <w:rPr>
          <w:rFonts w:ascii="Times New Roman" w:hAnsi="Times New Roman"/>
          <w:szCs w:val="24"/>
          <w:lang w:val="sr-Cyrl-RS"/>
        </w:rPr>
        <w:t>2</w:t>
      </w:r>
      <w:r w:rsidR="00527DD4" w:rsidRPr="00E00086">
        <w:rPr>
          <w:rFonts w:ascii="Times New Roman" w:hAnsi="Times New Roman"/>
          <w:szCs w:val="24"/>
          <w:lang w:val="sr-Cyrl-RS"/>
        </w:rPr>
        <w:t>5</w:t>
      </w:r>
      <w:r w:rsidR="007104F0" w:rsidRPr="00E00086">
        <w:rPr>
          <w:rFonts w:ascii="Times New Roman" w:hAnsi="Times New Roman"/>
          <w:szCs w:val="24"/>
          <w:lang w:val="sr-Cyrl-RS"/>
        </w:rPr>
        <w:t xml:space="preserve">. године. У случају да се </w:t>
      </w:r>
      <w:r w:rsidR="00D857CF" w:rsidRPr="00E00086">
        <w:rPr>
          <w:rFonts w:ascii="Times New Roman" w:hAnsi="Times New Roman"/>
          <w:szCs w:val="24"/>
          <w:lang w:val="sr-Cyrl-RS"/>
        </w:rPr>
        <w:t xml:space="preserve">закон </w:t>
      </w:r>
      <w:r w:rsidR="007104F0" w:rsidRPr="00E00086">
        <w:rPr>
          <w:rFonts w:ascii="Times New Roman" w:hAnsi="Times New Roman"/>
          <w:szCs w:val="24"/>
          <w:lang w:val="sr-Cyrl-RS"/>
        </w:rPr>
        <w:t>донесе 31. децембра 20</w:t>
      </w:r>
      <w:r w:rsidR="00AF4807" w:rsidRPr="00E00086">
        <w:rPr>
          <w:rFonts w:ascii="Times New Roman" w:hAnsi="Times New Roman"/>
          <w:szCs w:val="24"/>
          <w:lang w:val="sr-Cyrl-RS"/>
        </w:rPr>
        <w:t>2</w:t>
      </w:r>
      <w:r w:rsidR="00527DD4" w:rsidRPr="00E00086">
        <w:rPr>
          <w:rFonts w:ascii="Times New Roman" w:hAnsi="Times New Roman"/>
          <w:szCs w:val="24"/>
          <w:lang w:val="sr-Cyrl-RS"/>
        </w:rPr>
        <w:t>4</w:t>
      </w:r>
      <w:r w:rsidR="007104F0" w:rsidRPr="00E00086">
        <w:rPr>
          <w:rFonts w:ascii="Times New Roman" w:hAnsi="Times New Roman"/>
          <w:szCs w:val="24"/>
          <w:lang w:val="sr-Cyrl-RS"/>
        </w:rPr>
        <w:t xml:space="preserve">. године, била би доведена у питање редовна динамика извршавања расхода Републике, а тиме и извршавање функција и надлежности Републике. </w:t>
      </w:r>
    </w:p>
    <w:p w14:paraId="200B1544" w14:textId="77777777" w:rsidR="00C357A0" w:rsidRPr="00E00086" w:rsidRDefault="00C357A0" w:rsidP="008A0FF7">
      <w:pPr>
        <w:outlineLvl w:val="0"/>
        <w:rPr>
          <w:rFonts w:ascii="Times New Roman" w:hAnsi="Times New Roman"/>
          <w:szCs w:val="24"/>
          <w:lang w:val="sr-Cyrl-RS"/>
        </w:rPr>
      </w:pPr>
    </w:p>
    <w:p w14:paraId="643B86AD" w14:textId="77777777" w:rsidR="00C357A0" w:rsidRPr="00E00086" w:rsidRDefault="00C357A0" w:rsidP="008A0FF7">
      <w:pPr>
        <w:outlineLvl w:val="0"/>
        <w:rPr>
          <w:rFonts w:ascii="Times New Roman" w:hAnsi="Times New Roman"/>
          <w:sz w:val="23"/>
          <w:szCs w:val="23"/>
          <w:lang w:val="sr-Cyrl-RS"/>
        </w:rPr>
      </w:pPr>
    </w:p>
    <w:sectPr w:rsidR="00C357A0" w:rsidRPr="00E00086" w:rsidSect="00F91466">
      <w:footerReference w:type="default" r:id="rId18"/>
      <w:footerReference w:type="first" r:id="rId19"/>
      <w:pgSz w:w="11907" w:h="16840" w:code="9"/>
      <w:pgMar w:top="851" w:right="1287" w:bottom="851" w:left="135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24C9" w14:textId="77777777" w:rsidR="005A5003" w:rsidRDefault="005A5003" w:rsidP="00762E8F">
      <w:r>
        <w:separator/>
      </w:r>
    </w:p>
  </w:endnote>
  <w:endnote w:type="continuationSeparator" w:id="0">
    <w:p w14:paraId="3DE1C967" w14:textId="77777777" w:rsidR="005A5003" w:rsidRDefault="005A5003" w:rsidP="0076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ahnschrift Light SemiCondensed">
    <w:panose1 w:val="020B0502040204020203"/>
    <w:charset w:val="CC"/>
    <w:family w:val="swiss"/>
    <w:pitch w:val="variable"/>
    <w:sig w:usb0="A00002C7" w:usb1="00000002"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hnschrift SemiLight SemiConde">
    <w:panose1 w:val="020B0502040204020203"/>
    <w:charset w:val="CC"/>
    <w:family w:val="swiss"/>
    <w:pitch w:val="variable"/>
    <w:sig w:usb0="A00002C7"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73409"/>
      <w:docPartObj>
        <w:docPartGallery w:val="Page Numbers (Bottom of Page)"/>
        <w:docPartUnique/>
      </w:docPartObj>
    </w:sdtPr>
    <w:sdtEndPr>
      <w:rPr>
        <w:noProof/>
      </w:rPr>
    </w:sdtEndPr>
    <w:sdtContent>
      <w:p w14:paraId="6131C7F7" w14:textId="4134AB6A" w:rsidR="000F2D97" w:rsidRDefault="000F2D97">
        <w:pPr>
          <w:pStyle w:val="Footer"/>
          <w:jc w:val="right"/>
        </w:pPr>
        <w:r>
          <w:fldChar w:fldCharType="begin"/>
        </w:r>
        <w:r>
          <w:instrText xml:space="preserve"> PAGE   \* MERGEFORMAT </w:instrText>
        </w:r>
        <w:r>
          <w:fldChar w:fldCharType="separate"/>
        </w:r>
        <w:r w:rsidR="00B87F21">
          <w:rPr>
            <w:noProof/>
          </w:rPr>
          <w:t>12</w:t>
        </w:r>
        <w:r>
          <w:rPr>
            <w:noProof/>
          </w:rPr>
          <w:fldChar w:fldCharType="end"/>
        </w:r>
      </w:p>
    </w:sdtContent>
  </w:sdt>
  <w:p w14:paraId="4DD14A83" w14:textId="77777777" w:rsidR="000F2D97" w:rsidRDefault="000F2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14711"/>
      <w:docPartObj>
        <w:docPartGallery w:val="Page Numbers (Bottom of Page)"/>
        <w:docPartUnique/>
      </w:docPartObj>
    </w:sdtPr>
    <w:sdtEndPr>
      <w:rPr>
        <w:noProof/>
      </w:rPr>
    </w:sdtEndPr>
    <w:sdtContent>
      <w:p w14:paraId="1B8891FB" w14:textId="4A98D00A" w:rsidR="000F2D97" w:rsidRDefault="000F2D97">
        <w:pPr>
          <w:pStyle w:val="Footer"/>
          <w:jc w:val="right"/>
        </w:pPr>
        <w:r>
          <w:fldChar w:fldCharType="begin"/>
        </w:r>
        <w:r>
          <w:instrText xml:space="preserve"> PAGE   \* MERGEFORMAT </w:instrText>
        </w:r>
        <w:r>
          <w:fldChar w:fldCharType="separate"/>
        </w:r>
        <w:r w:rsidR="00D46F44">
          <w:rPr>
            <w:noProof/>
          </w:rPr>
          <w:t>1</w:t>
        </w:r>
        <w:r>
          <w:rPr>
            <w:noProof/>
          </w:rPr>
          <w:fldChar w:fldCharType="end"/>
        </w:r>
      </w:p>
    </w:sdtContent>
  </w:sdt>
  <w:p w14:paraId="61550274" w14:textId="77777777" w:rsidR="000F2D97" w:rsidRDefault="000F2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0C9E" w14:textId="77777777" w:rsidR="005A5003" w:rsidRDefault="005A5003" w:rsidP="00762E8F">
      <w:r>
        <w:separator/>
      </w:r>
    </w:p>
  </w:footnote>
  <w:footnote w:type="continuationSeparator" w:id="0">
    <w:p w14:paraId="3A71B667" w14:textId="77777777" w:rsidR="005A5003" w:rsidRDefault="005A5003" w:rsidP="00762E8F">
      <w:r>
        <w:continuationSeparator/>
      </w:r>
    </w:p>
  </w:footnote>
  <w:footnote w:id="1">
    <w:p w14:paraId="4D089F5F" w14:textId="77777777" w:rsidR="00013BBC" w:rsidRPr="00C52951" w:rsidRDefault="00013BBC" w:rsidP="00013BBC">
      <w:pPr>
        <w:spacing w:after="120"/>
        <w:rPr>
          <w:rFonts w:ascii="Times New Roman" w:hAnsi="Times New Roman"/>
          <w:lang w:val="sr-Cyrl-RS"/>
        </w:rPr>
      </w:pPr>
      <w:r w:rsidRPr="00237CB8">
        <w:rPr>
          <w:rStyle w:val="FootnoteReference"/>
          <w:rFonts w:ascii="Times New Roman" w:hAnsi="Times New Roman"/>
        </w:rPr>
        <w:footnoteRef/>
      </w:r>
      <w:r w:rsidRPr="00237CB8">
        <w:rPr>
          <w:rFonts w:ascii="Times New Roman" w:hAnsi="Times New Roman"/>
        </w:rPr>
        <w:t xml:space="preserve"> </w:t>
      </w:r>
      <w:r w:rsidRPr="00237CB8">
        <w:rPr>
          <w:rFonts w:ascii="Times New Roman" w:hAnsi="Times New Roman"/>
          <w:lang w:val="sr-Cyrl-RS"/>
        </w:rPr>
        <w:t>Од 2024. године у категорији редoвних непореских прихода, услед унапређења обухвата и система извршења буџета, налазе се и сопствени приходи свих средњих школа у Републици, а од 2025. године укључују су приходи основних школа и универзитета. До сада је овај део прихода био планиран у оквиру прихода индиректних буџетских корисника.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47F"/>
    <w:multiLevelType w:val="hybridMultilevel"/>
    <w:tmpl w:val="CDC6C934"/>
    <w:lvl w:ilvl="0" w:tplc="735C3332">
      <w:start w:val="4"/>
      <w:numFmt w:val="decimal"/>
      <w:lvlText w:val="%1."/>
      <w:lvlJc w:val="left"/>
      <w:pPr>
        <w:ind w:left="99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5B575BE"/>
    <w:multiLevelType w:val="hybridMultilevel"/>
    <w:tmpl w:val="8514C64C"/>
    <w:lvl w:ilvl="0" w:tplc="28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2347A3"/>
    <w:multiLevelType w:val="hybridMultilevel"/>
    <w:tmpl w:val="D1BC977E"/>
    <w:lvl w:ilvl="0" w:tplc="969EA2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A3553"/>
    <w:multiLevelType w:val="hybridMultilevel"/>
    <w:tmpl w:val="EC02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B17C6"/>
    <w:multiLevelType w:val="hybridMultilevel"/>
    <w:tmpl w:val="8D2C769E"/>
    <w:lvl w:ilvl="0" w:tplc="969EA298">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F9C3656"/>
    <w:multiLevelType w:val="hybridMultilevel"/>
    <w:tmpl w:val="7534BFCC"/>
    <w:lvl w:ilvl="0" w:tplc="1F008DFC">
      <w:start w:val="2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B2B1A"/>
    <w:multiLevelType w:val="multilevel"/>
    <w:tmpl w:val="04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9295FA6"/>
    <w:multiLevelType w:val="hybridMultilevel"/>
    <w:tmpl w:val="4A38BCE6"/>
    <w:lvl w:ilvl="0" w:tplc="969EA29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AC5244"/>
    <w:multiLevelType w:val="hybridMultilevel"/>
    <w:tmpl w:val="E7FC2C76"/>
    <w:lvl w:ilvl="0" w:tplc="2DDCD66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70D3B"/>
    <w:multiLevelType w:val="hybridMultilevel"/>
    <w:tmpl w:val="9376A8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E1E96"/>
    <w:multiLevelType w:val="hybridMultilevel"/>
    <w:tmpl w:val="8B2ECDA2"/>
    <w:lvl w:ilvl="0" w:tplc="FB42A7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7D4C285C"/>
    <w:multiLevelType w:val="hybridMultilevel"/>
    <w:tmpl w:val="356E2046"/>
    <w:lvl w:ilvl="0" w:tplc="4D10DA2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7039">
    <w:abstractNumId w:val="6"/>
  </w:num>
  <w:num w:numId="2" w16cid:durableId="910194974">
    <w:abstractNumId w:val="4"/>
  </w:num>
  <w:num w:numId="3" w16cid:durableId="1039822410">
    <w:abstractNumId w:val="7"/>
  </w:num>
  <w:num w:numId="4" w16cid:durableId="332339275">
    <w:abstractNumId w:val="3"/>
  </w:num>
  <w:num w:numId="5" w16cid:durableId="1297955179">
    <w:abstractNumId w:val="9"/>
  </w:num>
  <w:num w:numId="6" w16cid:durableId="1799911295">
    <w:abstractNumId w:val="5"/>
  </w:num>
  <w:num w:numId="7" w16cid:durableId="506403300">
    <w:abstractNumId w:val="8"/>
  </w:num>
  <w:num w:numId="8" w16cid:durableId="1684237044">
    <w:abstractNumId w:val="1"/>
  </w:num>
  <w:num w:numId="9" w16cid:durableId="2099057378">
    <w:abstractNumId w:val="2"/>
  </w:num>
  <w:num w:numId="10" w16cid:durableId="665474927">
    <w:abstractNumId w:val="0"/>
  </w:num>
  <w:num w:numId="11" w16cid:durableId="1933029">
    <w:abstractNumId w:val="10"/>
  </w:num>
  <w:num w:numId="12" w16cid:durableId="101738618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0"/>
    <w:rsid w:val="000008C6"/>
    <w:rsid w:val="000027E8"/>
    <w:rsid w:val="0000297E"/>
    <w:rsid w:val="00003474"/>
    <w:rsid w:val="000044DB"/>
    <w:rsid w:val="000048DC"/>
    <w:rsid w:val="00006E56"/>
    <w:rsid w:val="00013BBC"/>
    <w:rsid w:val="00014917"/>
    <w:rsid w:val="000154F2"/>
    <w:rsid w:val="000176CF"/>
    <w:rsid w:val="000177C0"/>
    <w:rsid w:val="0002471C"/>
    <w:rsid w:val="0002662A"/>
    <w:rsid w:val="000307B4"/>
    <w:rsid w:val="00031315"/>
    <w:rsid w:val="0003412D"/>
    <w:rsid w:val="00034855"/>
    <w:rsid w:val="00035478"/>
    <w:rsid w:val="00035B16"/>
    <w:rsid w:val="00040214"/>
    <w:rsid w:val="00040DCF"/>
    <w:rsid w:val="000412E7"/>
    <w:rsid w:val="00043FD5"/>
    <w:rsid w:val="00045D20"/>
    <w:rsid w:val="000465A8"/>
    <w:rsid w:val="000470D3"/>
    <w:rsid w:val="00047EB6"/>
    <w:rsid w:val="00050E17"/>
    <w:rsid w:val="000516D2"/>
    <w:rsid w:val="00054353"/>
    <w:rsid w:val="00055153"/>
    <w:rsid w:val="00055A71"/>
    <w:rsid w:val="00056E63"/>
    <w:rsid w:val="00060342"/>
    <w:rsid w:val="0006091D"/>
    <w:rsid w:val="00062130"/>
    <w:rsid w:val="00062B8A"/>
    <w:rsid w:val="00063137"/>
    <w:rsid w:val="0006322B"/>
    <w:rsid w:val="00064348"/>
    <w:rsid w:val="0006454C"/>
    <w:rsid w:val="00064B92"/>
    <w:rsid w:val="0006571E"/>
    <w:rsid w:val="0006598D"/>
    <w:rsid w:val="00065FD4"/>
    <w:rsid w:val="000671F9"/>
    <w:rsid w:val="000711D1"/>
    <w:rsid w:val="000713AD"/>
    <w:rsid w:val="00071B56"/>
    <w:rsid w:val="000726EA"/>
    <w:rsid w:val="0007424B"/>
    <w:rsid w:val="00074A40"/>
    <w:rsid w:val="00075A1C"/>
    <w:rsid w:val="00077175"/>
    <w:rsid w:val="00083D80"/>
    <w:rsid w:val="000871DD"/>
    <w:rsid w:val="00090488"/>
    <w:rsid w:val="00092011"/>
    <w:rsid w:val="0009287E"/>
    <w:rsid w:val="0009645F"/>
    <w:rsid w:val="000A0FE6"/>
    <w:rsid w:val="000A1B21"/>
    <w:rsid w:val="000A3F0E"/>
    <w:rsid w:val="000A5E91"/>
    <w:rsid w:val="000A5FDE"/>
    <w:rsid w:val="000A7186"/>
    <w:rsid w:val="000B03B8"/>
    <w:rsid w:val="000B0B6C"/>
    <w:rsid w:val="000B2E1D"/>
    <w:rsid w:val="000B3EA4"/>
    <w:rsid w:val="000B4823"/>
    <w:rsid w:val="000B5823"/>
    <w:rsid w:val="000B6492"/>
    <w:rsid w:val="000B70F1"/>
    <w:rsid w:val="000B7CAC"/>
    <w:rsid w:val="000C0A0B"/>
    <w:rsid w:val="000C0DBE"/>
    <w:rsid w:val="000C19E8"/>
    <w:rsid w:val="000C1DE8"/>
    <w:rsid w:val="000C3259"/>
    <w:rsid w:val="000C4CB3"/>
    <w:rsid w:val="000C5276"/>
    <w:rsid w:val="000C596F"/>
    <w:rsid w:val="000C724D"/>
    <w:rsid w:val="000D0158"/>
    <w:rsid w:val="000D161B"/>
    <w:rsid w:val="000D3312"/>
    <w:rsid w:val="000D44D9"/>
    <w:rsid w:val="000D57FE"/>
    <w:rsid w:val="000D6E9C"/>
    <w:rsid w:val="000E295C"/>
    <w:rsid w:val="000E39C2"/>
    <w:rsid w:val="000E3FAA"/>
    <w:rsid w:val="000E4715"/>
    <w:rsid w:val="000E530E"/>
    <w:rsid w:val="000E57BF"/>
    <w:rsid w:val="000E630F"/>
    <w:rsid w:val="000E66A5"/>
    <w:rsid w:val="000E7FA0"/>
    <w:rsid w:val="000F08B7"/>
    <w:rsid w:val="000F1EED"/>
    <w:rsid w:val="000F2D97"/>
    <w:rsid w:val="000F34FE"/>
    <w:rsid w:val="000F4B12"/>
    <w:rsid w:val="000F5623"/>
    <w:rsid w:val="000F57BC"/>
    <w:rsid w:val="000F5847"/>
    <w:rsid w:val="000F6CFB"/>
    <w:rsid w:val="000F7286"/>
    <w:rsid w:val="001003BD"/>
    <w:rsid w:val="00102460"/>
    <w:rsid w:val="00103503"/>
    <w:rsid w:val="00105C97"/>
    <w:rsid w:val="00105EBE"/>
    <w:rsid w:val="00112434"/>
    <w:rsid w:val="001125A6"/>
    <w:rsid w:val="00113875"/>
    <w:rsid w:val="001142B9"/>
    <w:rsid w:val="001145C2"/>
    <w:rsid w:val="0011493C"/>
    <w:rsid w:val="00114E88"/>
    <w:rsid w:val="00115156"/>
    <w:rsid w:val="00116E21"/>
    <w:rsid w:val="00120216"/>
    <w:rsid w:val="00122CE8"/>
    <w:rsid w:val="0012309E"/>
    <w:rsid w:val="001230C2"/>
    <w:rsid w:val="001233D0"/>
    <w:rsid w:val="001245AA"/>
    <w:rsid w:val="00125658"/>
    <w:rsid w:val="00126E9B"/>
    <w:rsid w:val="001303D8"/>
    <w:rsid w:val="00130AED"/>
    <w:rsid w:val="001356F3"/>
    <w:rsid w:val="001409DA"/>
    <w:rsid w:val="001415B4"/>
    <w:rsid w:val="001452A9"/>
    <w:rsid w:val="00146342"/>
    <w:rsid w:val="00146D4D"/>
    <w:rsid w:val="001473E8"/>
    <w:rsid w:val="001514B1"/>
    <w:rsid w:val="00151749"/>
    <w:rsid w:val="00151DEC"/>
    <w:rsid w:val="00152E26"/>
    <w:rsid w:val="0016014C"/>
    <w:rsid w:val="00163421"/>
    <w:rsid w:val="001666B4"/>
    <w:rsid w:val="001678E8"/>
    <w:rsid w:val="00170D31"/>
    <w:rsid w:val="001715EE"/>
    <w:rsid w:val="0017168B"/>
    <w:rsid w:val="00171A9A"/>
    <w:rsid w:val="001721C5"/>
    <w:rsid w:val="001721DC"/>
    <w:rsid w:val="001731E1"/>
    <w:rsid w:val="00174B12"/>
    <w:rsid w:val="00176135"/>
    <w:rsid w:val="0018107A"/>
    <w:rsid w:val="0018148C"/>
    <w:rsid w:val="00182583"/>
    <w:rsid w:val="00182C3C"/>
    <w:rsid w:val="001833EA"/>
    <w:rsid w:val="00185D00"/>
    <w:rsid w:val="001874AB"/>
    <w:rsid w:val="001878DD"/>
    <w:rsid w:val="001910D3"/>
    <w:rsid w:val="00192553"/>
    <w:rsid w:val="001935E8"/>
    <w:rsid w:val="00197500"/>
    <w:rsid w:val="001A08FB"/>
    <w:rsid w:val="001A1774"/>
    <w:rsid w:val="001A3493"/>
    <w:rsid w:val="001A49ED"/>
    <w:rsid w:val="001A50CF"/>
    <w:rsid w:val="001A684C"/>
    <w:rsid w:val="001A6D15"/>
    <w:rsid w:val="001A7668"/>
    <w:rsid w:val="001A7F38"/>
    <w:rsid w:val="001B0A28"/>
    <w:rsid w:val="001B0BA2"/>
    <w:rsid w:val="001B0E51"/>
    <w:rsid w:val="001B0EF0"/>
    <w:rsid w:val="001B2AFC"/>
    <w:rsid w:val="001B3CD4"/>
    <w:rsid w:val="001B7234"/>
    <w:rsid w:val="001C0CCD"/>
    <w:rsid w:val="001C1808"/>
    <w:rsid w:val="001C2847"/>
    <w:rsid w:val="001C2A81"/>
    <w:rsid w:val="001C57ED"/>
    <w:rsid w:val="001C5A24"/>
    <w:rsid w:val="001C67A2"/>
    <w:rsid w:val="001C7A49"/>
    <w:rsid w:val="001D077F"/>
    <w:rsid w:val="001D0A77"/>
    <w:rsid w:val="001D28EF"/>
    <w:rsid w:val="001D2EC5"/>
    <w:rsid w:val="001D5957"/>
    <w:rsid w:val="001D62E4"/>
    <w:rsid w:val="001D6C5D"/>
    <w:rsid w:val="001D7707"/>
    <w:rsid w:val="001E0F9A"/>
    <w:rsid w:val="001E1B96"/>
    <w:rsid w:val="001E1CED"/>
    <w:rsid w:val="001E4C6C"/>
    <w:rsid w:val="001E5377"/>
    <w:rsid w:val="001E57EF"/>
    <w:rsid w:val="001E6BD0"/>
    <w:rsid w:val="001E7029"/>
    <w:rsid w:val="001E7CC7"/>
    <w:rsid w:val="001F04BF"/>
    <w:rsid w:val="001F0F95"/>
    <w:rsid w:val="001F1086"/>
    <w:rsid w:val="001F1E25"/>
    <w:rsid w:val="001F314D"/>
    <w:rsid w:val="001F4807"/>
    <w:rsid w:val="001F6F9F"/>
    <w:rsid w:val="001F76D9"/>
    <w:rsid w:val="00200B2F"/>
    <w:rsid w:val="00201652"/>
    <w:rsid w:val="00201725"/>
    <w:rsid w:val="002026E9"/>
    <w:rsid w:val="00205697"/>
    <w:rsid w:val="00206479"/>
    <w:rsid w:val="00213388"/>
    <w:rsid w:val="00214C47"/>
    <w:rsid w:val="00215ACB"/>
    <w:rsid w:val="00215CDA"/>
    <w:rsid w:val="00217064"/>
    <w:rsid w:val="002201E2"/>
    <w:rsid w:val="00220E72"/>
    <w:rsid w:val="00221156"/>
    <w:rsid w:val="0022147E"/>
    <w:rsid w:val="002215F7"/>
    <w:rsid w:val="00222803"/>
    <w:rsid w:val="002236CD"/>
    <w:rsid w:val="002251A5"/>
    <w:rsid w:val="002254EB"/>
    <w:rsid w:val="002275A9"/>
    <w:rsid w:val="0023417A"/>
    <w:rsid w:val="00235BCE"/>
    <w:rsid w:val="002360B7"/>
    <w:rsid w:val="00236FF2"/>
    <w:rsid w:val="00237E8E"/>
    <w:rsid w:val="00240A7F"/>
    <w:rsid w:val="00242551"/>
    <w:rsid w:val="002426ED"/>
    <w:rsid w:val="002434C7"/>
    <w:rsid w:val="0024652F"/>
    <w:rsid w:val="002477C9"/>
    <w:rsid w:val="002479C0"/>
    <w:rsid w:val="00250294"/>
    <w:rsid w:val="002503F5"/>
    <w:rsid w:val="00251C89"/>
    <w:rsid w:val="00252E9F"/>
    <w:rsid w:val="00253189"/>
    <w:rsid w:val="002564B6"/>
    <w:rsid w:val="00256B3D"/>
    <w:rsid w:val="00257B15"/>
    <w:rsid w:val="00260434"/>
    <w:rsid w:val="00260896"/>
    <w:rsid w:val="00260900"/>
    <w:rsid w:val="002621B9"/>
    <w:rsid w:val="00263D0E"/>
    <w:rsid w:val="00264E03"/>
    <w:rsid w:val="002700FC"/>
    <w:rsid w:val="00271142"/>
    <w:rsid w:val="00272C58"/>
    <w:rsid w:val="002733D8"/>
    <w:rsid w:val="00273B84"/>
    <w:rsid w:val="002742F3"/>
    <w:rsid w:val="00275F38"/>
    <w:rsid w:val="002765E5"/>
    <w:rsid w:val="0027667E"/>
    <w:rsid w:val="002772AE"/>
    <w:rsid w:val="002805A9"/>
    <w:rsid w:val="00280664"/>
    <w:rsid w:val="002808DE"/>
    <w:rsid w:val="00280D3D"/>
    <w:rsid w:val="00280D60"/>
    <w:rsid w:val="00283269"/>
    <w:rsid w:val="0028540A"/>
    <w:rsid w:val="00285452"/>
    <w:rsid w:val="00286337"/>
    <w:rsid w:val="00291AE7"/>
    <w:rsid w:val="002922E4"/>
    <w:rsid w:val="00292FC4"/>
    <w:rsid w:val="00293D68"/>
    <w:rsid w:val="00294C89"/>
    <w:rsid w:val="002A120D"/>
    <w:rsid w:val="002A20D8"/>
    <w:rsid w:val="002A26DC"/>
    <w:rsid w:val="002A2FED"/>
    <w:rsid w:val="002A4510"/>
    <w:rsid w:val="002A77B9"/>
    <w:rsid w:val="002B0EF2"/>
    <w:rsid w:val="002B52C3"/>
    <w:rsid w:val="002B55FE"/>
    <w:rsid w:val="002B5CEC"/>
    <w:rsid w:val="002B6A77"/>
    <w:rsid w:val="002B6D21"/>
    <w:rsid w:val="002B6EF5"/>
    <w:rsid w:val="002B74B3"/>
    <w:rsid w:val="002B7CDB"/>
    <w:rsid w:val="002C406C"/>
    <w:rsid w:val="002C4CF6"/>
    <w:rsid w:val="002C4E9E"/>
    <w:rsid w:val="002C6034"/>
    <w:rsid w:val="002C6D8D"/>
    <w:rsid w:val="002C7D29"/>
    <w:rsid w:val="002C7DB4"/>
    <w:rsid w:val="002D0C43"/>
    <w:rsid w:val="002D10C3"/>
    <w:rsid w:val="002D1294"/>
    <w:rsid w:val="002D17A4"/>
    <w:rsid w:val="002D24AC"/>
    <w:rsid w:val="002D5F11"/>
    <w:rsid w:val="002D683B"/>
    <w:rsid w:val="002D72B8"/>
    <w:rsid w:val="002E0FDC"/>
    <w:rsid w:val="002E0FE6"/>
    <w:rsid w:val="002E172D"/>
    <w:rsid w:val="002E3B82"/>
    <w:rsid w:val="002E3C48"/>
    <w:rsid w:val="002E5544"/>
    <w:rsid w:val="002E5886"/>
    <w:rsid w:val="002E68AA"/>
    <w:rsid w:val="002F11AD"/>
    <w:rsid w:val="002F3A99"/>
    <w:rsid w:val="002F3B4D"/>
    <w:rsid w:val="002F4DF9"/>
    <w:rsid w:val="002F5662"/>
    <w:rsid w:val="002F61FD"/>
    <w:rsid w:val="002F7119"/>
    <w:rsid w:val="002F748D"/>
    <w:rsid w:val="003014D1"/>
    <w:rsid w:val="0030287B"/>
    <w:rsid w:val="0030517B"/>
    <w:rsid w:val="003064E2"/>
    <w:rsid w:val="0030756C"/>
    <w:rsid w:val="00311011"/>
    <w:rsid w:val="0031241C"/>
    <w:rsid w:val="00313823"/>
    <w:rsid w:val="0031553F"/>
    <w:rsid w:val="00316A00"/>
    <w:rsid w:val="00322915"/>
    <w:rsid w:val="00324B05"/>
    <w:rsid w:val="003307FA"/>
    <w:rsid w:val="00331E7D"/>
    <w:rsid w:val="003324B1"/>
    <w:rsid w:val="00332AEB"/>
    <w:rsid w:val="00332D68"/>
    <w:rsid w:val="00334548"/>
    <w:rsid w:val="003365D3"/>
    <w:rsid w:val="003366DD"/>
    <w:rsid w:val="00337B2C"/>
    <w:rsid w:val="003407C7"/>
    <w:rsid w:val="00345E60"/>
    <w:rsid w:val="00354246"/>
    <w:rsid w:val="003552C2"/>
    <w:rsid w:val="003553BC"/>
    <w:rsid w:val="003617CA"/>
    <w:rsid w:val="003633FC"/>
    <w:rsid w:val="00363A19"/>
    <w:rsid w:val="00363D12"/>
    <w:rsid w:val="00367F9A"/>
    <w:rsid w:val="0037023A"/>
    <w:rsid w:val="003702F2"/>
    <w:rsid w:val="00370BE0"/>
    <w:rsid w:val="00373342"/>
    <w:rsid w:val="003742E1"/>
    <w:rsid w:val="00375902"/>
    <w:rsid w:val="003759AE"/>
    <w:rsid w:val="00375ADB"/>
    <w:rsid w:val="00376E72"/>
    <w:rsid w:val="003775FF"/>
    <w:rsid w:val="00377A4C"/>
    <w:rsid w:val="00381250"/>
    <w:rsid w:val="00381DC0"/>
    <w:rsid w:val="00382DFF"/>
    <w:rsid w:val="003836E1"/>
    <w:rsid w:val="00384468"/>
    <w:rsid w:val="00386120"/>
    <w:rsid w:val="00386EC7"/>
    <w:rsid w:val="0038729D"/>
    <w:rsid w:val="00387339"/>
    <w:rsid w:val="00387BA0"/>
    <w:rsid w:val="0039096E"/>
    <w:rsid w:val="0039101F"/>
    <w:rsid w:val="00394EE7"/>
    <w:rsid w:val="00395BF3"/>
    <w:rsid w:val="0039795D"/>
    <w:rsid w:val="003A1F8C"/>
    <w:rsid w:val="003A45CA"/>
    <w:rsid w:val="003A4B48"/>
    <w:rsid w:val="003A6118"/>
    <w:rsid w:val="003A683D"/>
    <w:rsid w:val="003A71BB"/>
    <w:rsid w:val="003B17D3"/>
    <w:rsid w:val="003B2CB0"/>
    <w:rsid w:val="003B3FB3"/>
    <w:rsid w:val="003B61DC"/>
    <w:rsid w:val="003B73EF"/>
    <w:rsid w:val="003B7F43"/>
    <w:rsid w:val="003C076E"/>
    <w:rsid w:val="003C0EE7"/>
    <w:rsid w:val="003C1D50"/>
    <w:rsid w:val="003C2721"/>
    <w:rsid w:val="003C332D"/>
    <w:rsid w:val="003C60A7"/>
    <w:rsid w:val="003C7EBD"/>
    <w:rsid w:val="003D0854"/>
    <w:rsid w:val="003D26F3"/>
    <w:rsid w:val="003D3274"/>
    <w:rsid w:val="003D41BC"/>
    <w:rsid w:val="003D45D9"/>
    <w:rsid w:val="003D4BB2"/>
    <w:rsid w:val="003D6163"/>
    <w:rsid w:val="003D7145"/>
    <w:rsid w:val="003E0332"/>
    <w:rsid w:val="003E0F6E"/>
    <w:rsid w:val="003E3E0C"/>
    <w:rsid w:val="003E4A6E"/>
    <w:rsid w:val="003E632F"/>
    <w:rsid w:val="003E7CFE"/>
    <w:rsid w:val="003E7D5C"/>
    <w:rsid w:val="003F0A21"/>
    <w:rsid w:val="003F1CDC"/>
    <w:rsid w:val="003F1D76"/>
    <w:rsid w:val="003F254D"/>
    <w:rsid w:val="003F330C"/>
    <w:rsid w:val="003F516D"/>
    <w:rsid w:val="003F5228"/>
    <w:rsid w:val="003F54C2"/>
    <w:rsid w:val="003F7341"/>
    <w:rsid w:val="003F7D57"/>
    <w:rsid w:val="00406FDC"/>
    <w:rsid w:val="00407D54"/>
    <w:rsid w:val="00410DC8"/>
    <w:rsid w:val="00411E29"/>
    <w:rsid w:val="004123E6"/>
    <w:rsid w:val="004130A6"/>
    <w:rsid w:val="004138D7"/>
    <w:rsid w:val="004205B5"/>
    <w:rsid w:val="0042065E"/>
    <w:rsid w:val="00422254"/>
    <w:rsid w:val="0042282C"/>
    <w:rsid w:val="00422EA5"/>
    <w:rsid w:val="0042305B"/>
    <w:rsid w:val="00423A28"/>
    <w:rsid w:val="00424712"/>
    <w:rsid w:val="00424A9A"/>
    <w:rsid w:val="004274CB"/>
    <w:rsid w:val="00427F02"/>
    <w:rsid w:val="00430C9E"/>
    <w:rsid w:val="00432B38"/>
    <w:rsid w:val="00433A04"/>
    <w:rsid w:val="00433BB6"/>
    <w:rsid w:val="004347BD"/>
    <w:rsid w:val="004416D9"/>
    <w:rsid w:val="0044377C"/>
    <w:rsid w:val="00445305"/>
    <w:rsid w:val="004467A9"/>
    <w:rsid w:val="00447322"/>
    <w:rsid w:val="0044748A"/>
    <w:rsid w:val="0045022D"/>
    <w:rsid w:val="004548EB"/>
    <w:rsid w:val="0045543A"/>
    <w:rsid w:val="00455477"/>
    <w:rsid w:val="00455CDB"/>
    <w:rsid w:val="00457D1C"/>
    <w:rsid w:val="004617E0"/>
    <w:rsid w:val="00461ADB"/>
    <w:rsid w:val="00461DEA"/>
    <w:rsid w:val="00464B98"/>
    <w:rsid w:val="004658FC"/>
    <w:rsid w:val="004747D6"/>
    <w:rsid w:val="004754C9"/>
    <w:rsid w:val="004758DD"/>
    <w:rsid w:val="004822E2"/>
    <w:rsid w:val="004822F4"/>
    <w:rsid w:val="004841A0"/>
    <w:rsid w:val="00487719"/>
    <w:rsid w:val="004902D7"/>
    <w:rsid w:val="00490ACA"/>
    <w:rsid w:val="00492416"/>
    <w:rsid w:val="0049267D"/>
    <w:rsid w:val="004929B6"/>
    <w:rsid w:val="004938BF"/>
    <w:rsid w:val="00493E41"/>
    <w:rsid w:val="00493F45"/>
    <w:rsid w:val="0049556C"/>
    <w:rsid w:val="00496D41"/>
    <w:rsid w:val="004974AD"/>
    <w:rsid w:val="004979EA"/>
    <w:rsid w:val="00497C6A"/>
    <w:rsid w:val="004A0C74"/>
    <w:rsid w:val="004A1D78"/>
    <w:rsid w:val="004A1DE2"/>
    <w:rsid w:val="004A1FB7"/>
    <w:rsid w:val="004A42ED"/>
    <w:rsid w:val="004A55B2"/>
    <w:rsid w:val="004A632E"/>
    <w:rsid w:val="004A7502"/>
    <w:rsid w:val="004B090A"/>
    <w:rsid w:val="004B340F"/>
    <w:rsid w:val="004B3F04"/>
    <w:rsid w:val="004B40FD"/>
    <w:rsid w:val="004B4AB2"/>
    <w:rsid w:val="004B59D3"/>
    <w:rsid w:val="004B640B"/>
    <w:rsid w:val="004C1B6B"/>
    <w:rsid w:val="004C1CB8"/>
    <w:rsid w:val="004C5C6A"/>
    <w:rsid w:val="004D2CDC"/>
    <w:rsid w:val="004D3195"/>
    <w:rsid w:val="004D3520"/>
    <w:rsid w:val="004D3A92"/>
    <w:rsid w:val="004D3BFD"/>
    <w:rsid w:val="004D6185"/>
    <w:rsid w:val="004D73CA"/>
    <w:rsid w:val="004D73DE"/>
    <w:rsid w:val="004E0463"/>
    <w:rsid w:val="004E2F1B"/>
    <w:rsid w:val="004E6C95"/>
    <w:rsid w:val="004E742B"/>
    <w:rsid w:val="004E7950"/>
    <w:rsid w:val="004E7CB1"/>
    <w:rsid w:val="004E7D90"/>
    <w:rsid w:val="004F0B63"/>
    <w:rsid w:val="004F23E9"/>
    <w:rsid w:val="004F2E2B"/>
    <w:rsid w:val="004F313D"/>
    <w:rsid w:val="0050354C"/>
    <w:rsid w:val="00503E50"/>
    <w:rsid w:val="005046C1"/>
    <w:rsid w:val="00505351"/>
    <w:rsid w:val="00505560"/>
    <w:rsid w:val="0051129E"/>
    <w:rsid w:val="00511CBC"/>
    <w:rsid w:val="0051226E"/>
    <w:rsid w:val="00512FFC"/>
    <w:rsid w:val="00515730"/>
    <w:rsid w:val="005168C6"/>
    <w:rsid w:val="00517962"/>
    <w:rsid w:val="00517A4B"/>
    <w:rsid w:val="005203CD"/>
    <w:rsid w:val="005236BF"/>
    <w:rsid w:val="0052392C"/>
    <w:rsid w:val="005257C9"/>
    <w:rsid w:val="00526BD6"/>
    <w:rsid w:val="00526D95"/>
    <w:rsid w:val="00527DD4"/>
    <w:rsid w:val="00530B9C"/>
    <w:rsid w:val="00531641"/>
    <w:rsid w:val="00531C9C"/>
    <w:rsid w:val="0053247D"/>
    <w:rsid w:val="0053341C"/>
    <w:rsid w:val="00533958"/>
    <w:rsid w:val="00533F29"/>
    <w:rsid w:val="00537AAA"/>
    <w:rsid w:val="00540249"/>
    <w:rsid w:val="00540346"/>
    <w:rsid w:val="00540EC8"/>
    <w:rsid w:val="00542260"/>
    <w:rsid w:val="0054456B"/>
    <w:rsid w:val="00545AF0"/>
    <w:rsid w:val="005477EC"/>
    <w:rsid w:val="00551EDF"/>
    <w:rsid w:val="0055204A"/>
    <w:rsid w:val="00556620"/>
    <w:rsid w:val="00557028"/>
    <w:rsid w:val="005606E5"/>
    <w:rsid w:val="00560B16"/>
    <w:rsid w:val="005615F6"/>
    <w:rsid w:val="005649DF"/>
    <w:rsid w:val="00564DDA"/>
    <w:rsid w:val="00570196"/>
    <w:rsid w:val="00571393"/>
    <w:rsid w:val="0057255C"/>
    <w:rsid w:val="005727F5"/>
    <w:rsid w:val="00573384"/>
    <w:rsid w:val="00573616"/>
    <w:rsid w:val="00573C07"/>
    <w:rsid w:val="0057455F"/>
    <w:rsid w:val="005774C8"/>
    <w:rsid w:val="00580676"/>
    <w:rsid w:val="005817AD"/>
    <w:rsid w:val="0058180E"/>
    <w:rsid w:val="00581BD6"/>
    <w:rsid w:val="005821B2"/>
    <w:rsid w:val="00583342"/>
    <w:rsid w:val="00584829"/>
    <w:rsid w:val="005877CE"/>
    <w:rsid w:val="00587FB3"/>
    <w:rsid w:val="00590578"/>
    <w:rsid w:val="00591846"/>
    <w:rsid w:val="005918F3"/>
    <w:rsid w:val="00593327"/>
    <w:rsid w:val="00593CBA"/>
    <w:rsid w:val="005954DE"/>
    <w:rsid w:val="00595979"/>
    <w:rsid w:val="00596BD6"/>
    <w:rsid w:val="005A04A3"/>
    <w:rsid w:val="005A171E"/>
    <w:rsid w:val="005A2949"/>
    <w:rsid w:val="005A2A90"/>
    <w:rsid w:val="005A3CC9"/>
    <w:rsid w:val="005A4901"/>
    <w:rsid w:val="005A5003"/>
    <w:rsid w:val="005A6BD4"/>
    <w:rsid w:val="005B15BB"/>
    <w:rsid w:val="005B170F"/>
    <w:rsid w:val="005B1FD2"/>
    <w:rsid w:val="005B683B"/>
    <w:rsid w:val="005B6DD9"/>
    <w:rsid w:val="005C0C6F"/>
    <w:rsid w:val="005C2D3B"/>
    <w:rsid w:val="005C2E12"/>
    <w:rsid w:val="005C42E2"/>
    <w:rsid w:val="005C458E"/>
    <w:rsid w:val="005C5661"/>
    <w:rsid w:val="005C627D"/>
    <w:rsid w:val="005C6ADF"/>
    <w:rsid w:val="005D130C"/>
    <w:rsid w:val="005D24B5"/>
    <w:rsid w:val="005D41DF"/>
    <w:rsid w:val="005D6420"/>
    <w:rsid w:val="005D6A3E"/>
    <w:rsid w:val="005E29DF"/>
    <w:rsid w:val="005E34BF"/>
    <w:rsid w:val="005E3F5D"/>
    <w:rsid w:val="005E4043"/>
    <w:rsid w:val="005E4361"/>
    <w:rsid w:val="005E51F3"/>
    <w:rsid w:val="005E5F02"/>
    <w:rsid w:val="005F05EE"/>
    <w:rsid w:val="005F2B5F"/>
    <w:rsid w:val="005F2BAE"/>
    <w:rsid w:val="005F61C3"/>
    <w:rsid w:val="005F64D0"/>
    <w:rsid w:val="005F7668"/>
    <w:rsid w:val="0060051B"/>
    <w:rsid w:val="00600ABE"/>
    <w:rsid w:val="006011D7"/>
    <w:rsid w:val="0060186A"/>
    <w:rsid w:val="00601BD6"/>
    <w:rsid w:val="00602DC3"/>
    <w:rsid w:val="006030CE"/>
    <w:rsid w:val="00604D50"/>
    <w:rsid w:val="0060516C"/>
    <w:rsid w:val="00605C3E"/>
    <w:rsid w:val="00606E9F"/>
    <w:rsid w:val="00610DA0"/>
    <w:rsid w:val="00613160"/>
    <w:rsid w:val="00614B35"/>
    <w:rsid w:val="00614BA4"/>
    <w:rsid w:val="0061597A"/>
    <w:rsid w:val="00615A23"/>
    <w:rsid w:val="00615EA1"/>
    <w:rsid w:val="00616C08"/>
    <w:rsid w:val="0061772B"/>
    <w:rsid w:val="006209E0"/>
    <w:rsid w:val="006214AF"/>
    <w:rsid w:val="00622C27"/>
    <w:rsid w:val="006262FE"/>
    <w:rsid w:val="0062702D"/>
    <w:rsid w:val="006278A1"/>
    <w:rsid w:val="006301AC"/>
    <w:rsid w:val="0063026E"/>
    <w:rsid w:val="00630863"/>
    <w:rsid w:val="006310F2"/>
    <w:rsid w:val="0063173D"/>
    <w:rsid w:val="00631EBB"/>
    <w:rsid w:val="00632A97"/>
    <w:rsid w:val="0063333B"/>
    <w:rsid w:val="00633B47"/>
    <w:rsid w:val="006358DE"/>
    <w:rsid w:val="00636008"/>
    <w:rsid w:val="00636D77"/>
    <w:rsid w:val="00640E74"/>
    <w:rsid w:val="00641494"/>
    <w:rsid w:val="006421CD"/>
    <w:rsid w:val="0064364F"/>
    <w:rsid w:val="006436F5"/>
    <w:rsid w:val="0064506E"/>
    <w:rsid w:val="006459DA"/>
    <w:rsid w:val="006468CB"/>
    <w:rsid w:val="00647CAE"/>
    <w:rsid w:val="00651631"/>
    <w:rsid w:val="00652334"/>
    <w:rsid w:val="006527FF"/>
    <w:rsid w:val="006538B7"/>
    <w:rsid w:val="00653E2F"/>
    <w:rsid w:val="00654BB2"/>
    <w:rsid w:val="00655013"/>
    <w:rsid w:val="00655F07"/>
    <w:rsid w:val="00656C15"/>
    <w:rsid w:val="006577FC"/>
    <w:rsid w:val="00657A78"/>
    <w:rsid w:val="00662231"/>
    <w:rsid w:val="0066280D"/>
    <w:rsid w:val="006642AE"/>
    <w:rsid w:val="00664343"/>
    <w:rsid w:val="006705EC"/>
    <w:rsid w:val="00672A4A"/>
    <w:rsid w:val="00672CAA"/>
    <w:rsid w:val="0067574F"/>
    <w:rsid w:val="006757B9"/>
    <w:rsid w:val="00675C3D"/>
    <w:rsid w:val="00677E3C"/>
    <w:rsid w:val="006800BF"/>
    <w:rsid w:val="006814A4"/>
    <w:rsid w:val="00681761"/>
    <w:rsid w:val="00682B97"/>
    <w:rsid w:val="006843A6"/>
    <w:rsid w:val="00686077"/>
    <w:rsid w:val="00686623"/>
    <w:rsid w:val="006928A1"/>
    <w:rsid w:val="00692D32"/>
    <w:rsid w:val="006933C2"/>
    <w:rsid w:val="00693CCF"/>
    <w:rsid w:val="00694E69"/>
    <w:rsid w:val="00696EF5"/>
    <w:rsid w:val="006A242D"/>
    <w:rsid w:val="006A289D"/>
    <w:rsid w:val="006A28B1"/>
    <w:rsid w:val="006A2E29"/>
    <w:rsid w:val="006A599B"/>
    <w:rsid w:val="006B1987"/>
    <w:rsid w:val="006B4A36"/>
    <w:rsid w:val="006B4AF8"/>
    <w:rsid w:val="006B680B"/>
    <w:rsid w:val="006B6A33"/>
    <w:rsid w:val="006B6D17"/>
    <w:rsid w:val="006B7A26"/>
    <w:rsid w:val="006C0AE3"/>
    <w:rsid w:val="006C2EAA"/>
    <w:rsid w:val="006C2F74"/>
    <w:rsid w:val="006C3086"/>
    <w:rsid w:val="006C42DC"/>
    <w:rsid w:val="006C5C94"/>
    <w:rsid w:val="006C5DCF"/>
    <w:rsid w:val="006C678B"/>
    <w:rsid w:val="006D39D0"/>
    <w:rsid w:val="006D3A44"/>
    <w:rsid w:val="006D3A6C"/>
    <w:rsid w:val="006D3BC2"/>
    <w:rsid w:val="006D755B"/>
    <w:rsid w:val="006E2729"/>
    <w:rsid w:val="006E5103"/>
    <w:rsid w:val="006E550A"/>
    <w:rsid w:val="006E66BD"/>
    <w:rsid w:val="006E6B5F"/>
    <w:rsid w:val="006F117C"/>
    <w:rsid w:val="006F1563"/>
    <w:rsid w:val="006F2083"/>
    <w:rsid w:val="006F419D"/>
    <w:rsid w:val="006F430D"/>
    <w:rsid w:val="006F7707"/>
    <w:rsid w:val="007012EB"/>
    <w:rsid w:val="00701DCC"/>
    <w:rsid w:val="00701FA3"/>
    <w:rsid w:val="0070317E"/>
    <w:rsid w:val="0070377F"/>
    <w:rsid w:val="007046B8"/>
    <w:rsid w:val="007048D4"/>
    <w:rsid w:val="007059E4"/>
    <w:rsid w:val="007068C9"/>
    <w:rsid w:val="007104F0"/>
    <w:rsid w:val="007108F8"/>
    <w:rsid w:val="0071130B"/>
    <w:rsid w:val="0071189C"/>
    <w:rsid w:val="00713F58"/>
    <w:rsid w:val="00717BE7"/>
    <w:rsid w:val="0072226A"/>
    <w:rsid w:val="00724A7A"/>
    <w:rsid w:val="00730285"/>
    <w:rsid w:val="007307EE"/>
    <w:rsid w:val="00731857"/>
    <w:rsid w:val="0073271A"/>
    <w:rsid w:val="00733540"/>
    <w:rsid w:val="00734599"/>
    <w:rsid w:val="007364F5"/>
    <w:rsid w:val="007401DD"/>
    <w:rsid w:val="007411EB"/>
    <w:rsid w:val="0074258E"/>
    <w:rsid w:val="00743197"/>
    <w:rsid w:val="00743D8B"/>
    <w:rsid w:val="00743ECF"/>
    <w:rsid w:val="00744507"/>
    <w:rsid w:val="00744818"/>
    <w:rsid w:val="0074770D"/>
    <w:rsid w:val="00751A1F"/>
    <w:rsid w:val="0075277E"/>
    <w:rsid w:val="0075297D"/>
    <w:rsid w:val="00755E68"/>
    <w:rsid w:val="00757C6A"/>
    <w:rsid w:val="00761525"/>
    <w:rsid w:val="00761E0F"/>
    <w:rsid w:val="00762E8F"/>
    <w:rsid w:val="007649FD"/>
    <w:rsid w:val="0076678C"/>
    <w:rsid w:val="0077012F"/>
    <w:rsid w:val="007707A0"/>
    <w:rsid w:val="00770C69"/>
    <w:rsid w:val="007714E4"/>
    <w:rsid w:val="007735F7"/>
    <w:rsid w:val="0077455D"/>
    <w:rsid w:val="00775800"/>
    <w:rsid w:val="00776DB0"/>
    <w:rsid w:val="00776F27"/>
    <w:rsid w:val="00777ED5"/>
    <w:rsid w:val="00782495"/>
    <w:rsid w:val="00782660"/>
    <w:rsid w:val="007829C8"/>
    <w:rsid w:val="00782FB7"/>
    <w:rsid w:val="00783E0E"/>
    <w:rsid w:val="00785AA8"/>
    <w:rsid w:val="007863A2"/>
    <w:rsid w:val="00792109"/>
    <w:rsid w:val="007932FF"/>
    <w:rsid w:val="007958D7"/>
    <w:rsid w:val="00795F68"/>
    <w:rsid w:val="00796065"/>
    <w:rsid w:val="0079641B"/>
    <w:rsid w:val="007A3EC7"/>
    <w:rsid w:val="007A4F52"/>
    <w:rsid w:val="007A6027"/>
    <w:rsid w:val="007B00D9"/>
    <w:rsid w:val="007B173C"/>
    <w:rsid w:val="007B349F"/>
    <w:rsid w:val="007B3AF1"/>
    <w:rsid w:val="007B3C7A"/>
    <w:rsid w:val="007B480D"/>
    <w:rsid w:val="007B6E0D"/>
    <w:rsid w:val="007B7E49"/>
    <w:rsid w:val="007C17C4"/>
    <w:rsid w:val="007C2890"/>
    <w:rsid w:val="007C31C3"/>
    <w:rsid w:val="007C34FF"/>
    <w:rsid w:val="007D1C7C"/>
    <w:rsid w:val="007D4247"/>
    <w:rsid w:val="007D474B"/>
    <w:rsid w:val="007E18D0"/>
    <w:rsid w:val="007E24BE"/>
    <w:rsid w:val="007E2836"/>
    <w:rsid w:val="007E390F"/>
    <w:rsid w:val="007E4626"/>
    <w:rsid w:val="007E529C"/>
    <w:rsid w:val="007E5C91"/>
    <w:rsid w:val="007E611E"/>
    <w:rsid w:val="007E6653"/>
    <w:rsid w:val="007E7D7D"/>
    <w:rsid w:val="007E7D97"/>
    <w:rsid w:val="007E7F89"/>
    <w:rsid w:val="007F13AC"/>
    <w:rsid w:val="007F2921"/>
    <w:rsid w:val="007F304E"/>
    <w:rsid w:val="008008F7"/>
    <w:rsid w:val="00800996"/>
    <w:rsid w:val="00800A69"/>
    <w:rsid w:val="008028A6"/>
    <w:rsid w:val="00802CEF"/>
    <w:rsid w:val="00805B7D"/>
    <w:rsid w:val="00805D83"/>
    <w:rsid w:val="00810382"/>
    <w:rsid w:val="008109E5"/>
    <w:rsid w:val="00811DAD"/>
    <w:rsid w:val="00812530"/>
    <w:rsid w:val="00812880"/>
    <w:rsid w:val="00814DB4"/>
    <w:rsid w:val="00815693"/>
    <w:rsid w:val="0082066A"/>
    <w:rsid w:val="00820CA6"/>
    <w:rsid w:val="00821B52"/>
    <w:rsid w:val="00821F05"/>
    <w:rsid w:val="008228B6"/>
    <w:rsid w:val="00822FE7"/>
    <w:rsid w:val="00824F41"/>
    <w:rsid w:val="00824F5D"/>
    <w:rsid w:val="0082670C"/>
    <w:rsid w:val="00827361"/>
    <w:rsid w:val="00830818"/>
    <w:rsid w:val="00832D6A"/>
    <w:rsid w:val="00832DA5"/>
    <w:rsid w:val="00833644"/>
    <w:rsid w:val="00834400"/>
    <w:rsid w:val="0083642B"/>
    <w:rsid w:val="0083720E"/>
    <w:rsid w:val="00840360"/>
    <w:rsid w:val="008435E1"/>
    <w:rsid w:val="008447F6"/>
    <w:rsid w:val="00845DE2"/>
    <w:rsid w:val="008462EA"/>
    <w:rsid w:val="0084707F"/>
    <w:rsid w:val="0085045A"/>
    <w:rsid w:val="00850514"/>
    <w:rsid w:val="00850F13"/>
    <w:rsid w:val="008529CA"/>
    <w:rsid w:val="008548CB"/>
    <w:rsid w:val="00854DFF"/>
    <w:rsid w:val="0085562D"/>
    <w:rsid w:val="008610E8"/>
    <w:rsid w:val="0086116A"/>
    <w:rsid w:val="00862DD4"/>
    <w:rsid w:val="008638C0"/>
    <w:rsid w:val="008649D8"/>
    <w:rsid w:val="0086566A"/>
    <w:rsid w:val="00865E92"/>
    <w:rsid w:val="00870157"/>
    <w:rsid w:val="00871D1A"/>
    <w:rsid w:val="00871D30"/>
    <w:rsid w:val="00872F4F"/>
    <w:rsid w:val="00873964"/>
    <w:rsid w:val="0087599F"/>
    <w:rsid w:val="0087628C"/>
    <w:rsid w:val="008776C4"/>
    <w:rsid w:val="008828F5"/>
    <w:rsid w:val="00884ED8"/>
    <w:rsid w:val="0088657D"/>
    <w:rsid w:val="00886BCF"/>
    <w:rsid w:val="00890EFE"/>
    <w:rsid w:val="008911D3"/>
    <w:rsid w:val="00892FDB"/>
    <w:rsid w:val="00895C0B"/>
    <w:rsid w:val="00895D12"/>
    <w:rsid w:val="00896914"/>
    <w:rsid w:val="00896DA8"/>
    <w:rsid w:val="00897301"/>
    <w:rsid w:val="00897E6C"/>
    <w:rsid w:val="008A0FF7"/>
    <w:rsid w:val="008A223E"/>
    <w:rsid w:val="008A37F0"/>
    <w:rsid w:val="008A78F0"/>
    <w:rsid w:val="008B0258"/>
    <w:rsid w:val="008B0E44"/>
    <w:rsid w:val="008B22EA"/>
    <w:rsid w:val="008B38AA"/>
    <w:rsid w:val="008C0394"/>
    <w:rsid w:val="008C16FD"/>
    <w:rsid w:val="008C2BAA"/>
    <w:rsid w:val="008C31BD"/>
    <w:rsid w:val="008C33C0"/>
    <w:rsid w:val="008C3832"/>
    <w:rsid w:val="008C3CCB"/>
    <w:rsid w:val="008D03F1"/>
    <w:rsid w:val="008D214A"/>
    <w:rsid w:val="008D2D92"/>
    <w:rsid w:val="008D2E18"/>
    <w:rsid w:val="008D325A"/>
    <w:rsid w:val="008D3466"/>
    <w:rsid w:val="008D3C7E"/>
    <w:rsid w:val="008D57D1"/>
    <w:rsid w:val="008E331A"/>
    <w:rsid w:val="008E542C"/>
    <w:rsid w:val="008E7DE1"/>
    <w:rsid w:val="008F0EF6"/>
    <w:rsid w:val="008F106E"/>
    <w:rsid w:val="008F2B76"/>
    <w:rsid w:val="008F36F8"/>
    <w:rsid w:val="008F4227"/>
    <w:rsid w:val="008F451B"/>
    <w:rsid w:val="008F48CC"/>
    <w:rsid w:val="008F4B78"/>
    <w:rsid w:val="00900ACD"/>
    <w:rsid w:val="00901079"/>
    <w:rsid w:val="0090200A"/>
    <w:rsid w:val="00906307"/>
    <w:rsid w:val="0090655C"/>
    <w:rsid w:val="00906B4B"/>
    <w:rsid w:val="00907A70"/>
    <w:rsid w:val="00910C35"/>
    <w:rsid w:val="00912A6C"/>
    <w:rsid w:val="0091361B"/>
    <w:rsid w:val="00913934"/>
    <w:rsid w:val="009140A6"/>
    <w:rsid w:val="009143AA"/>
    <w:rsid w:val="00914BA7"/>
    <w:rsid w:val="00916987"/>
    <w:rsid w:val="00917DFB"/>
    <w:rsid w:val="00920910"/>
    <w:rsid w:val="00921983"/>
    <w:rsid w:val="00921BC5"/>
    <w:rsid w:val="00922548"/>
    <w:rsid w:val="009260FB"/>
    <w:rsid w:val="00932348"/>
    <w:rsid w:val="0093300C"/>
    <w:rsid w:val="00934368"/>
    <w:rsid w:val="0094137E"/>
    <w:rsid w:val="00942CFF"/>
    <w:rsid w:val="00943329"/>
    <w:rsid w:val="009433DD"/>
    <w:rsid w:val="009437BA"/>
    <w:rsid w:val="00944E91"/>
    <w:rsid w:val="00946294"/>
    <w:rsid w:val="00946577"/>
    <w:rsid w:val="009514A2"/>
    <w:rsid w:val="00951F42"/>
    <w:rsid w:val="00954A45"/>
    <w:rsid w:val="00956AE9"/>
    <w:rsid w:val="009572DA"/>
    <w:rsid w:val="009603EC"/>
    <w:rsid w:val="009611F3"/>
    <w:rsid w:val="009616B9"/>
    <w:rsid w:val="00963862"/>
    <w:rsid w:val="009641B0"/>
    <w:rsid w:val="00964CC6"/>
    <w:rsid w:val="00965BE7"/>
    <w:rsid w:val="00965E79"/>
    <w:rsid w:val="00966DA6"/>
    <w:rsid w:val="00971FA1"/>
    <w:rsid w:val="009725CF"/>
    <w:rsid w:val="00974200"/>
    <w:rsid w:val="00975661"/>
    <w:rsid w:val="00975811"/>
    <w:rsid w:val="00975CAD"/>
    <w:rsid w:val="00977604"/>
    <w:rsid w:val="00980349"/>
    <w:rsid w:val="00981A36"/>
    <w:rsid w:val="00982458"/>
    <w:rsid w:val="00983B07"/>
    <w:rsid w:val="00987784"/>
    <w:rsid w:val="00991FA9"/>
    <w:rsid w:val="009925FA"/>
    <w:rsid w:val="00993E65"/>
    <w:rsid w:val="00994FF9"/>
    <w:rsid w:val="009958C2"/>
    <w:rsid w:val="00995911"/>
    <w:rsid w:val="00995C40"/>
    <w:rsid w:val="00995C8E"/>
    <w:rsid w:val="00996DE1"/>
    <w:rsid w:val="009A129D"/>
    <w:rsid w:val="009A2518"/>
    <w:rsid w:val="009A431D"/>
    <w:rsid w:val="009A4AEC"/>
    <w:rsid w:val="009A6E8C"/>
    <w:rsid w:val="009A7452"/>
    <w:rsid w:val="009A79C5"/>
    <w:rsid w:val="009A7CC5"/>
    <w:rsid w:val="009B2B68"/>
    <w:rsid w:val="009B33BE"/>
    <w:rsid w:val="009B3F54"/>
    <w:rsid w:val="009B4C2D"/>
    <w:rsid w:val="009B5EDE"/>
    <w:rsid w:val="009B722C"/>
    <w:rsid w:val="009B7714"/>
    <w:rsid w:val="009B7AA5"/>
    <w:rsid w:val="009B7BAA"/>
    <w:rsid w:val="009C0798"/>
    <w:rsid w:val="009C0CA4"/>
    <w:rsid w:val="009C3E90"/>
    <w:rsid w:val="009C4DB3"/>
    <w:rsid w:val="009C6368"/>
    <w:rsid w:val="009D0EAC"/>
    <w:rsid w:val="009D1730"/>
    <w:rsid w:val="009D260F"/>
    <w:rsid w:val="009D274C"/>
    <w:rsid w:val="009D445B"/>
    <w:rsid w:val="009D47D1"/>
    <w:rsid w:val="009D5C34"/>
    <w:rsid w:val="009D7A44"/>
    <w:rsid w:val="009E0F07"/>
    <w:rsid w:val="009E5705"/>
    <w:rsid w:val="009E60C0"/>
    <w:rsid w:val="009E6791"/>
    <w:rsid w:val="009E787A"/>
    <w:rsid w:val="009F05DF"/>
    <w:rsid w:val="009F15F4"/>
    <w:rsid w:val="009F29E4"/>
    <w:rsid w:val="009F2A20"/>
    <w:rsid w:val="009F2D89"/>
    <w:rsid w:val="009F379C"/>
    <w:rsid w:val="009F379E"/>
    <w:rsid w:val="009F4051"/>
    <w:rsid w:val="009F56CA"/>
    <w:rsid w:val="009F6668"/>
    <w:rsid w:val="00A011AC"/>
    <w:rsid w:val="00A05569"/>
    <w:rsid w:val="00A05B17"/>
    <w:rsid w:val="00A05BB5"/>
    <w:rsid w:val="00A05BD1"/>
    <w:rsid w:val="00A06107"/>
    <w:rsid w:val="00A07A7B"/>
    <w:rsid w:val="00A109FE"/>
    <w:rsid w:val="00A10DE8"/>
    <w:rsid w:val="00A11FD8"/>
    <w:rsid w:val="00A12DAB"/>
    <w:rsid w:val="00A13608"/>
    <w:rsid w:val="00A13F12"/>
    <w:rsid w:val="00A1479E"/>
    <w:rsid w:val="00A2232F"/>
    <w:rsid w:val="00A2238D"/>
    <w:rsid w:val="00A22621"/>
    <w:rsid w:val="00A2437E"/>
    <w:rsid w:val="00A25F1F"/>
    <w:rsid w:val="00A26586"/>
    <w:rsid w:val="00A267A2"/>
    <w:rsid w:val="00A27757"/>
    <w:rsid w:val="00A31588"/>
    <w:rsid w:val="00A33057"/>
    <w:rsid w:val="00A334DF"/>
    <w:rsid w:val="00A34AEA"/>
    <w:rsid w:val="00A35B16"/>
    <w:rsid w:val="00A37B4F"/>
    <w:rsid w:val="00A43649"/>
    <w:rsid w:val="00A43D03"/>
    <w:rsid w:val="00A44B62"/>
    <w:rsid w:val="00A45958"/>
    <w:rsid w:val="00A45AD2"/>
    <w:rsid w:val="00A45FF8"/>
    <w:rsid w:val="00A4638F"/>
    <w:rsid w:val="00A466AE"/>
    <w:rsid w:val="00A46A65"/>
    <w:rsid w:val="00A46E69"/>
    <w:rsid w:val="00A47075"/>
    <w:rsid w:val="00A47402"/>
    <w:rsid w:val="00A50B64"/>
    <w:rsid w:val="00A50BA1"/>
    <w:rsid w:val="00A50F8C"/>
    <w:rsid w:val="00A5145E"/>
    <w:rsid w:val="00A51905"/>
    <w:rsid w:val="00A54319"/>
    <w:rsid w:val="00A5524C"/>
    <w:rsid w:val="00A5577F"/>
    <w:rsid w:val="00A557F7"/>
    <w:rsid w:val="00A55878"/>
    <w:rsid w:val="00A56934"/>
    <w:rsid w:val="00A57667"/>
    <w:rsid w:val="00A576D5"/>
    <w:rsid w:val="00A60F5B"/>
    <w:rsid w:val="00A61662"/>
    <w:rsid w:val="00A620B3"/>
    <w:rsid w:val="00A640B2"/>
    <w:rsid w:val="00A6511A"/>
    <w:rsid w:val="00A66797"/>
    <w:rsid w:val="00A70B6D"/>
    <w:rsid w:val="00A72234"/>
    <w:rsid w:val="00A735D6"/>
    <w:rsid w:val="00A7423B"/>
    <w:rsid w:val="00A757D7"/>
    <w:rsid w:val="00A7662C"/>
    <w:rsid w:val="00A817FC"/>
    <w:rsid w:val="00A83C9F"/>
    <w:rsid w:val="00A844DE"/>
    <w:rsid w:val="00A85701"/>
    <w:rsid w:val="00A85D90"/>
    <w:rsid w:val="00A85EA2"/>
    <w:rsid w:val="00A86252"/>
    <w:rsid w:val="00A92DBC"/>
    <w:rsid w:val="00A94FB0"/>
    <w:rsid w:val="00A975B3"/>
    <w:rsid w:val="00AA08D3"/>
    <w:rsid w:val="00AA0B97"/>
    <w:rsid w:val="00AA1D72"/>
    <w:rsid w:val="00AA6A06"/>
    <w:rsid w:val="00AA7803"/>
    <w:rsid w:val="00AB10DC"/>
    <w:rsid w:val="00AB2EB8"/>
    <w:rsid w:val="00AB6079"/>
    <w:rsid w:val="00AB677E"/>
    <w:rsid w:val="00AC1775"/>
    <w:rsid w:val="00AC1800"/>
    <w:rsid w:val="00AC18C4"/>
    <w:rsid w:val="00AC208A"/>
    <w:rsid w:val="00AC61FA"/>
    <w:rsid w:val="00AD1F65"/>
    <w:rsid w:val="00AD2BC3"/>
    <w:rsid w:val="00AD2C02"/>
    <w:rsid w:val="00AD3A4E"/>
    <w:rsid w:val="00AD4681"/>
    <w:rsid w:val="00AD4B32"/>
    <w:rsid w:val="00AE01DD"/>
    <w:rsid w:val="00AE106F"/>
    <w:rsid w:val="00AE1102"/>
    <w:rsid w:val="00AE15F8"/>
    <w:rsid w:val="00AE3BCA"/>
    <w:rsid w:val="00AE51F8"/>
    <w:rsid w:val="00AE5251"/>
    <w:rsid w:val="00AE54B8"/>
    <w:rsid w:val="00AE5EA4"/>
    <w:rsid w:val="00AE6CEE"/>
    <w:rsid w:val="00AE772C"/>
    <w:rsid w:val="00AE7A7D"/>
    <w:rsid w:val="00AE7F2F"/>
    <w:rsid w:val="00AF08CA"/>
    <w:rsid w:val="00AF0FD8"/>
    <w:rsid w:val="00AF1FBD"/>
    <w:rsid w:val="00AF2E65"/>
    <w:rsid w:val="00AF36D0"/>
    <w:rsid w:val="00AF3E6E"/>
    <w:rsid w:val="00AF4807"/>
    <w:rsid w:val="00AF6109"/>
    <w:rsid w:val="00B00A40"/>
    <w:rsid w:val="00B00A67"/>
    <w:rsid w:val="00B01B73"/>
    <w:rsid w:val="00B05118"/>
    <w:rsid w:val="00B05495"/>
    <w:rsid w:val="00B055DB"/>
    <w:rsid w:val="00B05821"/>
    <w:rsid w:val="00B101E8"/>
    <w:rsid w:val="00B12665"/>
    <w:rsid w:val="00B12CFC"/>
    <w:rsid w:val="00B13181"/>
    <w:rsid w:val="00B13E85"/>
    <w:rsid w:val="00B14B9E"/>
    <w:rsid w:val="00B15E47"/>
    <w:rsid w:val="00B20926"/>
    <w:rsid w:val="00B20AA2"/>
    <w:rsid w:val="00B21BED"/>
    <w:rsid w:val="00B2225A"/>
    <w:rsid w:val="00B22BF5"/>
    <w:rsid w:val="00B258B1"/>
    <w:rsid w:val="00B27253"/>
    <w:rsid w:val="00B27AB7"/>
    <w:rsid w:val="00B32E62"/>
    <w:rsid w:val="00B33119"/>
    <w:rsid w:val="00B34FD9"/>
    <w:rsid w:val="00B37EC9"/>
    <w:rsid w:val="00B46411"/>
    <w:rsid w:val="00B50342"/>
    <w:rsid w:val="00B516F3"/>
    <w:rsid w:val="00B51BA0"/>
    <w:rsid w:val="00B53E71"/>
    <w:rsid w:val="00B568D9"/>
    <w:rsid w:val="00B56CB3"/>
    <w:rsid w:val="00B56E81"/>
    <w:rsid w:val="00B573A6"/>
    <w:rsid w:val="00B6071F"/>
    <w:rsid w:val="00B6160A"/>
    <w:rsid w:val="00B62D63"/>
    <w:rsid w:val="00B63AE0"/>
    <w:rsid w:val="00B63FE7"/>
    <w:rsid w:val="00B6621A"/>
    <w:rsid w:val="00B668B0"/>
    <w:rsid w:val="00B66D92"/>
    <w:rsid w:val="00B67557"/>
    <w:rsid w:val="00B725FC"/>
    <w:rsid w:val="00B7272C"/>
    <w:rsid w:val="00B7346D"/>
    <w:rsid w:val="00B76EB0"/>
    <w:rsid w:val="00B778D3"/>
    <w:rsid w:val="00B82D8D"/>
    <w:rsid w:val="00B8366F"/>
    <w:rsid w:val="00B83F97"/>
    <w:rsid w:val="00B85509"/>
    <w:rsid w:val="00B856FE"/>
    <w:rsid w:val="00B86BC3"/>
    <w:rsid w:val="00B87F21"/>
    <w:rsid w:val="00B90D92"/>
    <w:rsid w:val="00B91C9C"/>
    <w:rsid w:val="00B91D74"/>
    <w:rsid w:val="00B9268B"/>
    <w:rsid w:val="00B9276C"/>
    <w:rsid w:val="00B962E2"/>
    <w:rsid w:val="00BA0A96"/>
    <w:rsid w:val="00BA2176"/>
    <w:rsid w:val="00BA4B3F"/>
    <w:rsid w:val="00BA5526"/>
    <w:rsid w:val="00BA67FA"/>
    <w:rsid w:val="00BB07AA"/>
    <w:rsid w:val="00BB0B98"/>
    <w:rsid w:val="00BB1E10"/>
    <w:rsid w:val="00BB2965"/>
    <w:rsid w:val="00BB72EF"/>
    <w:rsid w:val="00BC12D9"/>
    <w:rsid w:val="00BC2A3F"/>
    <w:rsid w:val="00BC2F37"/>
    <w:rsid w:val="00BC5682"/>
    <w:rsid w:val="00BD04B5"/>
    <w:rsid w:val="00BD0701"/>
    <w:rsid w:val="00BD0A8E"/>
    <w:rsid w:val="00BD105A"/>
    <w:rsid w:val="00BD2892"/>
    <w:rsid w:val="00BD353D"/>
    <w:rsid w:val="00BD407B"/>
    <w:rsid w:val="00BD5B43"/>
    <w:rsid w:val="00BE17C8"/>
    <w:rsid w:val="00BE335D"/>
    <w:rsid w:val="00BE36A5"/>
    <w:rsid w:val="00BE3DC8"/>
    <w:rsid w:val="00BE6A71"/>
    <w:rsid w:val="00BE6F8A"/>
    <w:rsid w:val="00BE71A6"/>
    <w:rsid w:val="00BE7D83"/>
    <w:rsid w:val="00BF0A91"/>
    <w:rsid w:val="00BF2BA1"/>
    <w:rsid w:val="00BF3CF3"/>
    <w:rsid w:val="00BF4D40"/>
    <w:rsid w:val="00BF6FA6"/>
    <w:rsid w:val="00C00474"/>
    <w:rsid w:val="00C005A4"/>
    <w:rsid w:val="00C0168A"/>
    <w:rsid w:val="00C0402B"/>
    <w:rsid w:val="00C07F69"/>
    <w:rsid w:val="00C10AD2"/>
    <w:rsid w:val="00C11115"/>
    <w:rsid w:val="00C117BF"/>
    <w:rsid w:val="00C13042"/>
    <w:rsid w:val="00C14B3C"/>
    <w:rsid w:val="00C15083"/>
    <w:rsid w:val="00C154AC"/>
    <w:rsid w:val="00C16B59"/>
    <w:rsid w:val="00C21089"/>
    <w:rsid w:val="00C229FA"/>
    <w:rsid w:val="00C22D07"/>
    <w:rsid w:val="00C22E4B"/>
    <w:rsid w:val="00C242C1"/>
    <w:rsid w:val="00C24AA9"/>
    <w:rsid w:val="00C24E6C"/>
    <w:rsid w:val="00C25C13"/>
    <w:rsid w:val="00C30EBA"/>
    <w:rsid w:val="00C32AC5"/>
    <w:rsid w:val="00C35185"/>
    <w:rsid w:val="00C352C2"/>
    <w:rsid w:val="00C354B6"/>
    <w:rsid w:val="00C357A0"/>
    <w:rsid w:val="00C36F80"/>
    <w:rsid w:val="00C40612"/>
    <w:rsid w:val="00C4163C"/>
    <w:rsid w:val="00C4313F"/>
    <w:rsid w:val="00C44409"/>
    <w:rsid w:val="00C51389"/>
    <w:rsid w:val="00C52189"/>
    <w:rsid w:val="00C53263"/>
    <w:rsid w:val="00C53B0F"/>
    <w:rsid w:val="00C540C9"/>
    <w:rsid w:val="00C578E2"/>
    <w:rsid w:val="00C61B36"/>
    <w:rsid w:val="00C61EEC"/>
    <w:rsid w:val="00C63DAE"/>
    <w:rsid w:val="00C64AC3"/>
    <w:rsid w:val="00C7000E"/>
    <w:rsid w:val="00C71098"/>
    <w:rsid w:val="00C71C79"/>
    <w:rsid w:val="00C721BB"/>
    <w:rsid w:val="00C72674"/>
    <w:rsid w:val="00C729CC"/>
    <w:rsid w:val="00C74213"/>
    <w:rsid w:val="00C7422F"/>
    <w:rsid w:val="00C75288"/>
    <w:rsid w:val="00C76D4C"/>
    <w:rsid w:val="00C77554"/>
    <w:rsid w:val="00C84ED8"/>
    <w:rsid w:val="00C852D3"/>
    <w:rsid w:val="00C86C0D"/>
    <w:rsid w:val="00C86F9B"/>
    <w:rsid w:val="00C93AE7"/>
    <w:rsid w:val="00C97A5C"/>
    <w:rsid w:val="00CA1632"/>
    <w:rsid w:val="00CA2764"/>
    <w:rsid w:val="00CA3F81"/>
    <w:rsid w:val="00CA50A4"/>
    <w:rsid w:val="00CB0178"/>
    <w:rsid w:val="00CB049A"/>
    <w:rsid w:val="00CB07E4"/>
    <w:rsid w:val="00CB0CC3"/>
    <w:rsid w:val="00CB37D9"/>
    <w:rsid w:val="00CB648B"/>
    <w:rsid w:val="00CB70ED"/>
    <w:rsid w:val="00CC0BEF"/>
    <w:rsid w:val="00CC0F16"/>
    <w:rsid w:val="00CC1E88"/>
    <w:rsid w:val="00CC27DF"/>
    <w:rsid w:val="00CC3030"/>
    <w:rsid w:val="00CC4FDB"/>
    <w:rsid w:val="00CC5EDF"/>
    <w:rsid w:val="00CC5FC9"/>
    <w:rsid w:val="00CC609B"/>
    <w:rsid w:val="00CC6E9C"/>
    <w:rsid w:val="00CC7515"/>
    <w:rsid w:val="00CC75BF"/>
    <w:rsid w:val="00CC7C07"/>
    <w:rsid w:val="00CD0111"/>
    <w:rsid w:val="00CD0335"/>
    <w:rsid w:val="00CD1D07"/>
    <w:rsid w:val="00CD2157"/>
    <w:rsid w:val="00CD3158"/>
    <w:rsid w:val="00CD4C9E"/>
    <w:rsid w:val="00CD5903"/>
    <w:rsid w:val="00CD5A0E"/>
    <w:rsid w:val="00CD7772"/>
    <w:rsid w:val="00CE145E"/>
    <w:rsid w:val="00CE2A83"/>
    <w:rsid w:val="00CE3269"/>
    <w:rsid w:val="00CE5140"/>
    <w:rsid w:val="00CE5C98"/>
    <w:rsid w:val="00CF2D42"/>
    <w:rsid w:val="00CF328C"/>
    <w:rsid w:val="00CF493B"/>
    <w:rsid w:val="00CF5AAB"/>
    <w:rsid w:val="00D00BA9"/>
    <w:rsid w:val="00D0151B"/>
    <w:rsid w:val="00D015A2"/>
    <w:rsid w:val="00D038EB"/>
    <w:rsid w:val="00D0499B"/>
    <w:rsid w:val="00D077B5"/>
    <w:rsid w:val="00D112D8"/>
    <w:rsid w:val="00D11670"/>
    <w:rsid w:val="00D1183D"/>
    <w:rsid w:val="00D133BA"/>
    <w:rsid w:val="00D1350B"/>
    <w:rsid w:val="00D1525E"/>
    <w:rsid w:val="00D166E5"/>
    <w:rsid w:val="00D1728D"/>
    <w:rsid w:val="00D17C99"/>
    <w:rsid w:val="00D20D98"/>
    <w:rsid w:val="00D22327"/>
    <w:rsid w:val="00D233E3"/>
    <w:rsid w:val="00D23B59"/>
    <w:rsid w:val="00D247AA"/>
    <w:rsid w:val="00D25D65"/>
    <w:rsid w:val="00D26239"/>
    <w:rsid w:val="00D27957"/>
    <w:rsid w:val="00D30AC7"/>
    <w:rsid w:val="00D31413"/>
    <w:rsid w:val="00D318E3"/>
    <w:rsid w:val="00D3204C"/>
    <w:rsid w:val="00D35D26"/>
    <w:rsid w:val="00D366EA"/>
    <w:rsid w:val="00D409C1"/>
    <w:rsid w:val="00D41D7B"/>
    <w:rsid w:val="00D41FEB"/>
    <w:rsid w:val="00D42ECE"/>
    <w:rsid w:val="00D45EEE"/>
    <w:rsid w:val="00D460F9"/>
    <w:rsid w:val="00D46EDE"/>
    <w:rsid w:val="00D46F44"/>
    <w:rsid w:val="00D475F3"/>
    <w:rsid w:val="00D5061E"/>
    <w:rsid w:val="00D50ACB"/>
    <w:rsid w:val="00D56DA4"/>
    <w:rsid w:val="00D57011"/>
    <w:rsid w:val="00D60856"/>
    <w:rsid w:val="00D61C4A"/>
    <w:rsid w:val="00D61D48"/>
    <w:rsid w:val="00D63504"/>
    <w:rsid w:val="00D648DC"/>
    <w:rsid w:val="00D6540B"/>
    <w:rsid w:val="00D65CF1"/>
    <w:rsid w:val="00D66431"/>
    <w:rsid w:val="00D7078D"/>
    <w:rsid w:val="00D717DC"/>
    <w:rsid w:val="00D760CA"/>
    <w:rsid w:val="00D76898"/>
    <w:rsid w:val="00D76C43"/>
    <w:rsid w:val="00D80789"/>
    <w:rsid w:val="00D808E5"/>
    <w:rsid w:val="00D81F6A"/>
    <w:rsid w:val="00D85776"/>
    <w:rsid w:val="00D857CF"/>
    <w:rsid w:val="00D91114"/>
    <w:rsid w:val="00D91DE8"/>
    <w:rsid w:val="00D92799"/>
    <w:rsid w:val="00D93E86"/>
    <w:rsid w:val="00D95FBC"/>
    <w:rsid w:val="00D96AC2"/>
    <w:rsid w:val="00DA01A1"/>
    <w:rsid w:val="00DA4691"/>
    <w:rsid w:val="00DA4E5D"/>
    <w:rsid w:val="00DA55F0"/>
    <w:rsid w:val="00DA5912"/>
    <w:rsid w:val="00DA63DD"/>
    <w:rsid w:val="00DA68F9"/>
    <w:rsid w:val="00DA7A74"/>
    <w:rsid w:val="00DA7FAA"/>
    <w:rsid w:val="00DB08A3"/>
    <w:rsid w:val="00DB0EB3"/>
    <w:rsid w:val="00DB1D07"/>
    <w:rsid w:val="00DB5AD0"/>
    <w:rsid w:val="00DB5BA6"/>
    <w:rsid w:val="00DB68F6"/>
    <w:rsid w:val="00DB6B3F"/>
    <w:rsid w:val="00DB7D2D"/>
    <w:rsid w:val="00DC275A"/>
    <w:rsid w:val="00DC3A25"/>
    <w:rsid w:val="00DC6CC7"/>
    <w:rsid w:val="00DD0DBC"/>
    <w:rsid w:val="00DD40DF"/>
    <w:rsid w:val="00DD42FF"/>
    <w:rsid w:val="00DD5469"/>
    <w:rsid w:val="00DD66E4"/>
    <w:rsid w:val="00DD6CF8"/>
    <w:rsid w:val="00DD7222"/>
    <w:rsid w:val="00DD752B"/>
    <w:rsid w:val="00DE2D70"/>
    <w:rsid w:val="00DE4544"/>
    <w:rsid w:val="00DE5643"/>
    <w:rsid w:val="00DE68D5"/>
    <w:rsid w:val="00DF007E"/>
    <w:rsid w:val="00DF0A48"/>
    <w:rsid w:val="00DF267C"/>
    <w:rsid w:val="00DF36B8"/>
    <w:rsid w:val="00DF5008"/>
    <w:rsid w:val="00DF72E7"/>
    <w:rsid w:val="00DF75C7"/>
    <w:rsid w:val="00E00086"/>
    <w:rsid w:val="00E00A6B"/>
    <w:rsid w:val="00E02712"/>
    <w:rsid w:val="00E02726"/>
    <w:rsid w:val="00E0375F"/>
    <w:rsid w:val="00E06E86"/>
    <w:rsid w:val="00E10B6C"/>
    <w:rsid w:val="00E10DE4"/>
    <w:rsid w:val="00E11D8F"/>
    <w:rsid w:val="00E124D1"/>
    <w:rsid w:val="00E130BB"/>
    <w:rsid w:val="00E14AAE"/>
    <w:rsid w:val="00E16DFE"/>
    <w:rsid w:val="00E16E46"/>
    <w:rsid w:val="00E222C6"/>
    <w:rsid w:val="00E23F7D"/>
    <w:rsid w:val="00E249F4"/>
    <w:rsid w:val="00E27C5E"/>
    <w:rsid w:val="00E31E9A"/>
    <w:rsid w:val="00E329DF"/>
    <w:rsid w:val="00E33683"/>
    <w:rsid w:val="00E34D7E"/>
    <w:rsid w:val="00E3558F"/>
    <w:rsid w:val="00E35708"/>
    <w:rsid w:val="00E35D45"/>
    <w:rsid w:val="00E35FDD"/>
    <w:rsid w:val="00E371A1"/>
    <w:rsid w:val="00E373DD"/>
    <w:rsid w:val="00E377EB"/>
    <w:rsid w:val="00E413DA"/>
    <w:rsid w:val="00E4435C"/>
    <w:rsid w:val="00E55B49"/>
    <w:rsid w:val="00E5606E"/>
    <w:rsid w:val="00E5667B"/>
    <w:rsid w:val="00E57570"/>
    <w:rsid w:val="00E6138E"/>
    <w:rsid w:val="00E615BA"/>
    <w:rsid w:val="00E6339F"/>
    <w:rsid w:val="00E633C2"/>
    <w:rsid w:val="00E64D6C"/>
    <w:rsid w:val="00E6555E"/>
    <w:rsid w:val="00E66608"/>
    <w:rsid w:val="00E66734"/>
    <w:rsid w:val="00E67CE5"/>
    <w:rsid w:val="00E71871"/>
    <w:rsid w:val="00E741EB"/>
    <w:rsid w:val="00E74966"/>
    <w:rsid w:val="00E75F16"/>
    <w:rsid w:val="00E76809"/>
    <w:rsid w:val="00E76A98"/>
    <w:rsid w:val="00E76D65"/>
    <w:rsid w:val="00E77610"/>
    <w:rsid w:val="00E77F6F"/>
    <w:rsid w:val="00E805D7"/>
    <w:rsid w:val="00E8215A"/>
    <w:rsid w:val="00E82438"/>
    <w:rsid w:val="00E82502"/>
    <w:rsid w:val="00E831FB"/>
    <w:rsid w:val="00E8360E"/>
    <w:rsid w:val="00E83828"/>
    <w:rsid w:val="00E839F0"/>
    <w:rsid w:val="00E842C9"/>
    <w:rsid w:val="00E91D92"/>
    <w:rsid w:val="00E93ABE"/>
    <w:rsid w:val="00E943A8"/>
    <w:rsid w:val="00E96AD3"/>
    <w:rsid w:val="00E972CC"/>
    <w:rsid w:val="00EA5163"/>
    <w:rsid w:val="00EA70C4"/>
    <w:rsid w:val="00EB1B7F"/>
    <w:rsid w:val="00EB674B"/>
    <w:rsid w:val="00EB68D4"/>
    <w:rsid w:val="00EB7A58"/>
    <w:rsid w:val="00EC37D8"/>
    <w:rsid w:val="00EC5AEF"/>
    <w:rsid w:val="00EC7E6D"/>
    <w:rsid w:val="00ED08FE"/>
    <w:rsid w:val="00ED0DC1"/>
    <w:rsid w:val="00ED131C"/>
    <w:rsid w:val="00ED19A2"/>
    <w:rsid w:val="00ED2412"/>
    <w:rsid w:val="00ED2567"/>
    <w:rsid w:val="00ED3C0C"/>
    <w:rsid w:val="00ED473C"/>
    <w:rsid w:val="00ED48AD"/>
    <w:rsid w:val="00ED682A"/>
    <w:rsid w:val="00EE2BE9"/>
    <w:rsid w:val="00EE2C0F"/>
    <w:rsid w:val="00EE2F13"/>
    <w:rsid w:val="00EE47F5"/>
    <w:rsid w:val="00EE5164"/>
    <w:rsid w:val="00EE66EA"/>
    <w:rsid w:val="00EE6E40"/>
    <w:rsid w:val="00EE786A"/>
    <w:rsid w:val="00EF0092"/>
    <w:rsid w:val="00EF196B"/>
    <w:rsid w:val="00EF1E05"/>
    <w:rsid w:val="00EF3A64"/>
    <w:rsid w:val="00EF4ADA"/>
    <w:rsid w:val="00EF4E51"/>
    <w:rsid w:val="00EF752F"/>
    <w:rsid w:val="00EF7FF6"/>
    <w:rsid w:val="00F01FA7"/>
    <w:rsid w:val="00F02F52"/>
    <w:rsid w:val="00F030BB"/>
    <w:rsid w:val="00F0495F"/>
    <w:rsid w:val="00F0589F"/>
    <w:rsid w:val="00F06095"/>
    <w:rsid w:val="00F06917"/>
    <w:rsid w:val="00F07101"/>
    <w:rsid w:val="00F072A7"/>
    <w:rsid w:val="00F073B7"/>
    <w:rsid w:val="00F077E5"/>
    <w:rsid w:val="00F07CFF"/>
    <w:rsid w:val="00F13CFA"/>
    <w:rsid w:val="00F140D2"/>
    <w:rsid w:val="00F15054"/>
    <w:rsid w:val="00F162EE"/>
    <w:rsid w:val="00F16DD3"/>
    <w:rsid w:val="00F171E2"/>
    <w:rsid w:val="00F207D8"/>
    <w:rsid w:val="00F20B87"/>
    <w:rsid w:val="00F22B4C"/>
    <w:rsid w:val="00F22C5A"/>
    <w:rsid w:val="00F23A23"/>
    <w:rsid w:val="00F23E31"/>
    <w:rsid w:val="00F24009"/>
    <w:rsid w:val="00F2632E"/>
    <w:rsid w:val="00F26D4C"/>
    <w:rsid w:val="00F27294"/>
    <w:rsid w:val="00F27295"/>
    <w:rsid w:val="00F274D5"/>
    <w:rsid w:val="00F27604"/>
    <w:rsid w:val="00F306E0"/>
    <w:rsid w:val="00F31DF8"/>
    <w:rsid w:val="00F32B30"/>
    <w:rsid w:val="00F3308B"/>
    <w:rsid w:val="00F33D49"/>
    <w:rsid w:val="00F36C3C"/>
    <w:rsid w:val="00F405B6"/>
    <w:rsid w:val="00F41D32"/>
    <w:rsid w:val="00F42E03"/>
    <w:rsid w:val="00F43E4A"/>
    <w:rsid w:val="00F45B79"/>
    <w:rsid w:val="00F50658"/>
    <w:rsid w:val="00F50EDE"/>
    <w:rsid w:val="00F50F87"/>
    <w:rsid w:val="00F527E4"/>
    <w:rsid w:val="00F52F8D"/>
    <w:rsid w:val="00F54642"/>
    <w:rsid w:val="00F54AA0"/>
    <w:rsid w:val="00F550E8"/>
    <w:rsid w:val="00F55E62"/>
    <w:rsid w:val="00F57CAD"/>
    <w:rsid w:val="00F60183"/>
    <w:rsid w:val="00F60F12"/>
    <w:rsid w:val="00F614DB"/>
    <w:rsid w:val="00F61DD8"/>
    <w:rsid w:val="00F64F1D"/>
    <w:rsid w:val="00F6510E"/>
    <w:rsid w:val="00F652A0"/>
    <w:rsid w:val="00F657C0"/>
    <w:rsid w:val="00F66504"/>
    <w:rsid w:val="00F67CE2"/>
    <w:rsid w:val="00F700E1"/>
    <w:rsid w:val="00F70831"/>
    <w:rsid w:val="00F70EEE"/>
    <w:rsid w:val="00F73B9D"/>
    <w:rsid w:val="00F73C71"/>
    <w:rsid w:val="00F76AC1"/>
    <w:rsid w:val="00F7766E"/>
    <w:rsid w:val="00F77E1D"/>
    <w:rsid w:val="00F77FA5"/>
    <w:rsid w:val="00F81DEB"/>
    <w:rsid w:val="00F8274F"/>
    <w:rsid w:val="00F82B48"/>
    <w:rsid w:val="00F83C97"/>
    <w:rsid w:val="00F86F66"/>
    <w:rsid w:val="00F908B3"/>
    <w:rsid w:val="00F9113E"/>
    <w:rsid w:val="00F91466"/>
    <w:rsid w:val="00F92B4B"/>
    <w:rsid w:val="00F92C2E"/>
    <w:rsid w:val="00F93025"/>
    <w:rsid w:val="00F930C4"/>
    <w:rsid w:val="00F939E1"/>
    <w:rsid w:val="00F93CE2"/>
    <w:rsid w:val="00F959A4"/>
    <w:rsid w:val="00F96B21"/>
    <w:rsid w:val="00F96F8E"/>
    <w:rsid w:val="00F973E3"/>
    <w:rsid w:val="00F97767"/>
    <w:rsid w:val="00F979C1"/>
    <w:rsid w:val="00FA021A"/>
    <w:rsid w:val="00FA0E16"/>
    <w:rsid w:val="00FA0F5A"/>
    <w:rsid w:val="00FA154F"/>
    <w:rsid w:val="00FA1F93"/>
    <w:rsid w:val="00FA34DD"/>
    <w:rsid w:val="00FA76AC"/>
    <w:rsid w:val="00FB1E96"/>
    <w:rsid w:val="00FB1F64"/>
    <w:rsid w:val="00FB270B"/>
    <w:rsid w:val="00FB2741"/>
    <w:rsid w:val="00FB284A"/>
    <w:rsid w:val="00FB2862"/>
    <w:rsid w:val="00FB40F2"/>
    <w:rsid w:val="00FB6180"/>
    <w:rsid w:val="00FB6BFC"/>
    <w:rsid w:val="00FB76E5"/>
    <w:rsid w:val="00FC0AD3"/>
    <w:rsid w:val="00FC0D97"/>
    <w:rsid w:val="00FC1422"/>
    <w:rsid w:val="00FC18D9"/>
    <w:rsid w:val="00FC200B"/>
    <w:rsid w:val="00FC25DF"/>
    <w:rsid w:val="00FC5015"/>
    <w:rsid w:val="00FC5C6B"/>
    <w:rsid w:val="00FC5F3D"/>
    <w:rsid w:val="00FC6703"/>
    <w:rsid w:val="00FC6E34"/>
    <w:rsid w:val="00FC7917"/>
    <w:rsid w:val="00FC7C82"/>
    <w:rsid w:val="00FD074F"/>
    <w:rsid w:val="00FD2968"/>
    <w:rsid w:val="00FD327D"/>
    <w:rsid w:val="00FD4372"/>
    <w:rsid w:val="00FD4B9C"/>
    <w:rsid w:val="00FD6BF6"/>
    <w:rsid w:val="00FD78F8"/>
    <w:rsid w:val="00FE1D8F"/>
    <w:rsid w:val="00FE2EAE"/>
    <w:rsid w:val="00FE4096"/>
    <w:rsid w:val="00FE56A3"/>
    <w:rsid w:val="00FE7057"/>
    <w:rsid w:val="00FF2022"/>
    <w:rsid w:val="00FF2B7E"/>
    <w:rsid w:val="00FF3895"/>
    <w:rsid w:val="00FF75B1"/>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CF0C"/>
  <w15:docId w15:val="{65B4BBFC-7A08-4534-A954-8CCB5741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0"/>
    <w:rPr>
      <w:rFonts w:ascii="CTimesRoman" w:eastAsia="Times New Roman" w:hAnsi="CTimesRoman" w:cs="Times New Roman"/>
      <w:sz w:val="24"/>
      <w:szCs w:val="20"/>
      <w:lang w:val="sr-Cyrl-CS"/>
    </w:rPr>
  </w:style>
  <w:style w:type="paragraph" w:styleId="Heading1">
    <w:name w:val="heading 1"/>
    <w:basedOn w:val="Normal"/>
    <w:next w:val="Normal"/>
    <w:link w:val="Heading1Char"/>
    <w:uiPriority w:val="9"/>
    <w:qFormat/>
    <w:rsid w:val="007104F0"/>
    <w:pPr>
      <w:keepNext/>
      <w:spacing w:before="240" w:after="60"/>
      <w:outlineLvl w:val="0"/>
    </w:pPr>
    <w:rPr>
      <w:rFonts w:ascii="Arial" w:hAnsi="Arial"/>
      <w:b/>
      <w:bCs/>
      <w:kern w:val="32"/>
      <w:sz w:val="32"/>
      <w:szCs w:val="32"/>
      <w:lang w:eastAsia="x-none"/>
    </w:rPr>
  </w:style>
  <w:style w:type="paragraph" w:styleId="Heading2">
    <w:name w:val="heading 2"/>
    <w:basedOn w:val="Normal"/>
    <w:next w:val="Normal"/>
    <w:link w:val="Heading2Char"/>
    <w:uiPriority w:val="9"/>
    <w:qFormat/>
    <w:rsid w:val="007104F0"/>
    <w:pPr>
      <w:keepNext/>
      <w:spacing w:before="240" w:after="60"/>
      <w:jc w:val="center"/>
      <w:outlineLvl w:val="1"/>
    </w:pPr>
    <w:rPr>
      <w:b/>
      <w:caps/>
      <w:sz w:val="28"/>
      <w:lang w:eastAsia="x-none"/>
    </w:rPr>
  </w:style>
  <w:style w:type="paragraph" w:styleId="Heading3">
    <w:name w:val="heading 3"/>
    <w:basedOn w:val="Normal"/>
    <w:next w:val="Normal"/>
    <w:link w:val="Heading3Char"/>
    <w:uiPriority w:val="9"/>
    <w:qFormat/>
    <w:rsid w:val="007104F0"/>
    <w:pPr>
      <w:keepNext/>
      <w:spacing w:before="240" w:after="60"/>
      <w:outlineLvl w:val="2"/>
    </w:pPr>
    <w:rPr>
      <w:rFonts w:ascii="Arial" w:hAnsi="Arial"/>
      <w:b/>
      <w:bCs/>
      <w:sz w:val="26"/>
      <w:szCs w:val="26"/>
      <w:lang w:eastAsia="x-none"/>
    </w:rPr>
  </w:style>
  <w:style w:type="paragraph" w:styleId="Heading4">
    <w:name w:val="heading 4"/>
    <w:basedOn w:val="Normal"/>
    <w:next w:val="Normal"/>
    <w:link w:val="Heading4Char"/>
    <w:uiPriority w:val="9"/>
    <w:qFormat/>
    <w:rsid w:val="007104F0"/>
    <w:pPr>
      <w:keepNext/>
      <w:spacing w:before="240" w:after="60"/>
      <w:outlineLvl w:val="3"/>
    </w:pPr>
    <w:rPr>
      <w:rFonts w:ascii="Times New Roman" w:hAnsi="Times New Roman"/>
      <w:b/>
      <w:bCs/>
      <w:sz w:val="28"/>
      <w:szCs w:val="28"/>
      <w:lang w:eastAsia="x-none"/>
    </w:rPr>
  </w:style>
  <w:style w:type="paragraph" w:styleId="Heading5">
    <w:name w:val="heading 5"/>
    <w:basedOn w:val="Normal"/>
    <w:next w:val="Normal"/>
    <w:link w:val="Heading5Char"/>
    <w:uiPriority w:val="9"/>
    <w:qFormat/>
    <w:rsid w:val="007104F0"/>
    <w:pPr>
      <w:spacing w:before="240" w:after="60"/>
      <w:outlineLvl w:val="4"/>
    </w:pPr>
    <w:rPr>
      <w:b/>
      <w:bCs/>
      <w:i/>
      <w:iCs/>
      <w:sz w:val="26"/>
      <w:szCs w:val="26"/>
      <w:lang w:eastAsia="x-none"/>
    </w:rPr>
  </w:style>
  <w:style w:type="paragraph" w:styleId="Heading6">
    <w:name w:val="heading 6"/>
    <w:basedOn w:val="Normal"/>
    <w:next w:val="Normal"/>
    <w:link w:val="Heading6Char"/>
    <w:uiPriority w:val="9"/>
    <w:qFormat/>
    <w:rsid w:val="007104F0"/>
    <w:pPr>
      <w:spacing w:before="240" w:after="60"/>
      <w:outlineLvl w:val="5"/>
    </w:pPr>
    <w:rPr>
      <w:rFonts w:ascii="Times New Roman" w:hAnsi="Times New Roman"/>
      <w:b/>
      <w:bCs/>
      <w:sz w:val="22"/>
      <w:szCs w:val="22"/>
      <w:lang w:eastAsia="x-none"/>
    </w:rPr>
  </w:style>
  <w:style w:type="paragraph" w:styleId="Heading7">
    <w:name w:val="heading 7"/>
    <w:basedOn w:val="Normal"/>
    <w:next w:val="Normal"/>
    <w:link w:val="Heading7Char"/>
    <w:uiPriority w:val="9"/>
    <w:qFormat/>
    <w:rsid w:val="007104F0"/>
    <w:pPr>
      <w:spacing w:before="240" w:after="60"/>
      <w:outlineLvl w:val="6"/>
    </w:pPr>
    <w:rPr>
      <w:rFonts w:ascii="Times New Roman" w:hAnsi="Times New Roman"/>
      <w:szCs w:val="24"/>
      <w:lang w:eastAsia="x-none"/>
    </w:rPr>
  </w:style>
  <w:style w:type="paragraph" w:styleId="Heading8">
    <w:name w:val="heading 8"/>
    <w:basedOn w:val="Normal"/>
    <w:next w:val="Normal"/>
    <w:link w:val="Heading8Char"/>
    <w:uiPriority w:val="9"/>
    <w:qFormat/>
    <w:rsid w:val="007104F0"/>
    <w:pPr>
      <w:widowControl w:val="0"/>
      <w:autoSpaceDE w:val="0"/>
      <w:autoSpaceDN w:val="0"/>
      <w:adjustRightInd w:val="0"/>
      <w:jc w:val="left"/>
      <w:outlineLvl w:val="7"/>
    </w:pPr>
    <w:rPr>
      <w:rFonts w:ascii="Arial" w:hAnsi="Arial"/>
      <w:szCs w:val="24"/>
      <w:lang w:val="x-none" w:eastAsia="x-none"/>
    </w:rPr>
  </w:style>
  <w:style w:type="paragraph" w:styleId="Heading9">
    <w:name w:val="heading 9"/>
    <w:basedOn w:val="Normal"/>
    <w:next w:val="Normal"/>
    <w:link w:val="Heading9Char"/>
    <w:uiPriority w:val="9"/>
    <w:qFormat/>
    <w:rsid w:val="007104F0"/>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4F0"/>
    <w:rPr>
      <w:rFonts w:ascii="Arial" w:eastAsia="Times New Roman" w:hAnsi="Arial" w:cs="Times New Roman"/>
      <w:b/>
      <w:bCs/>
      <w:kern w:val="32"/>
      <w:sz w:val="32"/>
      <w:szCs w:val="32"/>
      <w:lang w:val="sr-Cyrl-CS" w:eastAsia="x-none"/>
    </w:rPr>
  </w:style>
  <w:style w:type="character" w:customStyle="1" w:styleId="Heading2Char">
    <w:name w:val="Heading 2 Char"/>
    <w:basedOn w:val="DefaultParagraphFont"/>
    <w:link w:val="Heading2"/>
    <w:uiPriority w:val="9"/>
    <w:rsid w:val="007104F0"/>
    <w:rPr>
      <w:rFonts w:ascii="CTimesRoman" w:eastAsia="Times New Roman" w:hAnsi="CTimesRoman" w:cs="Times New Roman"/>
      <w:b/>
      <w:caps/>
      <w:sz w:val="28"/>
      <w:szCs w:val="20"/>
      <w:lang w:val="sr-Cyrl-CS" w:eastAsia="x-none"/>
    </w:rPr>
  </w:style>
  <w:style w:type="character" w:customStyle="1" w:styleId="Heading3Char">
    <w:name w:val="Heading 3 Char"/>
    <w:basedOn w:val="DefaultParagraphFont"/>
    <w:link w:val="Heading3"/>
    <w:uiPriority w:val="9"/>
    <w:rsid w:val="007104F0"/>
    <w:rPr>
      <w:rFonts w:ascii="Arial" w:eastAsia="Times New Roman" w:hAnsi="Arial" w:cs="Times New Roman"/>
      <w:b/>
      <w:bCs/>
      <w:sz w:val="26"/>
      <w:szCs w:val="26"/>
      <w:lang w:val="sr-Cyrl-CS" w:eastAsia="x-none"/>
    </w:rPr>
  </w:style>
  <w:style w:type="character" w:customStyle="1" w:styleId="Heading4Char">
    <w:name w:val="Heading 4 Char"/>
    <w:basedOn w:val="DefaultParagraphFont"/>
    <w:link w:val="Heading4"/>
    <w:uiPriority w:val="9"/>
    <w:rsid w:val="007104F0"/>
    <w:rPr>
      <w:rFonts w:ascii="Times New Roman" w:eastAsia="Times New Roman" w:hAnsi="Times New Roman" w:cs="Times New Roman"/>
      <w:b/>
      <w:bCs/>
      <w:sz w:val="28"/>
      <w:szCs w:val="28"/>
      <w:lang w:val="sr-Cyrl-CS" w:eastAsia="x-none"/>
    </w:rPr>
  </w:style>
  <w:style w:type="character" w:customStyle="1" w:styleId="Heading5Char">
    <w:name w:val="Heading 5 Char"/>
    <w:basedOn w:val="DefaultParagraphFont"/>
    <w:link w:val="Heading5"/>
    <w:uiPriority w:val="9"/>
    <w:rsid w:val="007104F0"/>
    <w:rPr>
      <w:rFonts w:ascii="CTimesRoman" w:eastAsia="Times New Roman" w:hAnsi="CTimesRoman" w:cs="Times New Roman"/>
      <w:b/>
      <w:bCs/>
      <w:i/>
      <w:iCs/>
      <w:sz w:val="26"/>
      <w:szCs w:val="26"/>
      <w:lang w:val="sr-Cyrl-CS" w:eastAsia="x-none"/>
    </w:rPr>
  </w:style>
  <w:style w:type="character" w:customStyle="1" w:styleId="Heading6Char">
    <w:name w:val="Heading 6 Char"/>
    <w:basedOn w:val="DefaultParagraphFont"/>
    <w:link w:val="Heading6"/>
    <w:uiPriority w:val="9"/>
    <w:rsid w:val="007104F0"/>
    <w:rPr>
      <w:rFonts w:ascii="Times New Roman" w:eastAsia="Times New Roman" w:hAnsi="Times New Roman" w:cs="Times New Roman"/>
      <w:b/>
      <w:bCs/>
      <w:lang w:val="sr-Cyrl-CS" w:eastAsia="x-none"/>
    </w:rPr>
  </w:style>
  <w:style w:type="character" w:customStyle="1" w:styleId="Heading7Char">
    <w:name w:val="Heading 7 Char"/>
    <w:basedOn w:val="DefaultParagraphFont"/>
    <w:link w:val="Heading7"/>
    <w:uiPriority w:val="9"/>
    <w:rsid w:val="007104F0"/>
    <w:rPr>
      <w:rFonts w:ascii="Times New Roman" w:eastAsia="Times New Roman" w:hAnsi="Times New Roman" w:cs="Times New Roman"/>
      <w:sz w:val="24"/>
      <w:szCs w:val="24"/>
      <w:lang w:val="sr-Cyrl-CS" w:eastAsia="x-none"/>
    </w:rPr>
  </w:style>
  <w:style w:type="character" w:customStyle="1" w:styleId="Heading8Char">
    <w:name w:val="Heading 8 Char"/>
    <w:basedOn w:val="DefaultParagraphFont"/>
    <w:link w:val="Heading8"/>
    <w:uiPriority w:val="9"/>
    <w:rsid w:val="007104F0"/>
    <w:rPr>
      <w:rFonts w:ascii="Arial" w:eastAsia="Times New Roman" w:hAnsi="Arial" w:cs="Times New Roman"/>
      <w:sz w:val="24"/>
      <w:szCs w:val="24"/>
      <w:lang w:val="x-none" w:eastAsia="x-none"/>
    </w:rPr>
  </w:style>
  <w:style w:type="character" w:customStyle="1" w:styleId="Heading9Char">
    <w:name w:val="Heading 9 Char"/>
    <w:basedOn w:val="DefaultParagraphFont"/>
    <w:link w:val="Heading9"/>
    <w:uiPriority w:val="9"/>
    <w:rsid w:val="007104F0"/>
    <w:rPr>
      <w:rFonts w:ascii="Arial" w:eastAsia="Times New Roman" w:hAnsi="Arial" w:cs="Times New Roman"/>
      <w:lang w:val="sr-Cyrl-CS" w:eastAsia="x-none"/>
    </w:rPr>
  </w:style>
  <w:style w:type="paragraph" w:customStyle="1" w:styleId="CharCharCharChar">
    <w:name w:val="Char Char Char Char"/>
    <w:basedOn w:val="Normal"/>
    <w:rsid w:val="007104F0"/>
    <w:pPr>
      <w:spacing w:after="160" w:line="240" w:lineRule="exact"/>
      <w:jc w:val="left"/>
    </w:pPr>
    <w:rPr>
      <w:rFonts w:ascii="Verdana" w:hAnsi="Verdana"/>
      <w:sz w:val="20"/>
      <w:lang w:val="en-US"/>
    </w:rPr>
  </w:style>
  <w:style w:type="paragraph" w:styleId="BodyTextIndent">
    <w:name w:val="Body Text Indent"/>
    <w:basedOn w:val="Normal"/>
    <w:link w:val="BodyTextIndentChar1"/>
    <w:rsid w:val="007104F0"/>
    <w:pPr>
      <w:ind w:left="357"/>
      <w:jc w:val="left"/>
    </w:pPr>
    <w:rPr>
      <w:rFonts w:ascii="Times New Roman" w:hAnsi="Times New Roman"/>
    </w:rPr>
  </w:style>
  <w:style w:type="character" w:customStyle="1" w:styleId="BodyTextIndentChar">
    <w:name w:val="Body Text Indent Char"/>
    <w:basedOn w:val="DefaultParagraphFont"/>
    <w:uiPriority w:val="99"/>
    <w:rsid w:val="007104F0"/>
    <w:rPr>
      <w:rFonts w:ascii="CTimesRoman" w:eastAsia="Times New Roman" w:hAnsi="CTimesRoman" w:cs="Times New Roman"/>
      <w:sz w:val="24"/>
      <w:szCs w:val="20"/>
      <w:lang w:val="sr-Cyrl-CS"/>
    </w:rPr>
  </w:style>
  <w:style w:type="character" w:customStyle="1" w:styleId="BodyTextIndentChar1">
    <w:name w:val="Body Text Indent Char1"/>
    <w:link w:val="BodyTextIndent"/>
    <w:rsid w:val="007104F0"/>
    <w:rPr>
      <w:rFonts w:ascii="Times New Roman" w:eastAsia="Times New Roman" w:hAnsi="Times New Roman" w:cs="Times New Roman"/>
      <w:sz w:val="24"/>
      <w:szCs w:val="20"/>
      <w:lang w:val="sr-Cyrl-CS"/>
    </w:rPr>
  </w:style>
  <w:style w:type="paragraph" w:styleId="BodyText">
    <w:name w:val="Body Text"/>
    <w:basedOn w:val="Normal"/>
    <w:link w:val="BodyTextChar"/>
    <w:rsid w:val="007104F0"/>
    <w:pPr>
      <w:spacing w:after="120"/>
      <w:jc w:val="left"/>
    </w:pPr>
    <w:rPr>
      <w:rFonts w:ascii="Times New Roman" w:hAnsi="Times New Roman"/>
      <w:lang w:val="x-none" w:eastAsia="x-none"/>
    </w:rPr>
  </w:style>
  <w:style w:type="character" w:customStyle="1" w:styleId="BodyTextChar">
    <w:name w:val="Body Text Char"/>
    <w:basedOn w:val="DefaultParagraphFont"/>
    <w:link w:val="BodyText"/>
    <w:rsid w:val="007104F0"/>
    <w:rPr>
      <w:rFonts w:ascii="Times New Roman" w:eastAsia="Times New Roman" w:hAnsi="Times New Roman" w:cs="Times New Roman"/>
      <w:sz w:val="24"/>
      <w:szCs w:val="20"/>
      <w:lang w:val="x-none" w:eastAsia="x-none"/>
    </w:rPr>
  </w:style>
  <w:style w:type="paragraph" w:styleId="NormalWeb">
    <w:name w:val="Normal (Web)"/>
    <w:basedOn w:val="Normal"/>
    <w:uiPriority w:val="99"/>
    <w:rsid w:val="007104F0"/>
    <w:pPr>
      <w:spacing w:after="100" w:afterAutospacing="1"/>
    </w:pPr>
    <w:rPr>
      <w:rFonts w:ascii="Times New Roman" w:eastAsia="Arial Unicode MS" w:hAnsi="Times New Roman"/>
      <w:szCs w:val="24"/>
      <w:lang w:val="en-GB"/>
    </w:rPr>
  </w:style>
  <w:style w:type="paragraph" w:styleId="BodyText3">
    <w:name w:val="Body Text 3"/>
    <w:basedOn w:val="Normal"/>
    <w:link w:val="BodyText3Char"/>
    <w:rsid w:val="007104F0"/>
    <w:pPr>
      <w:spacing w:after="120"/>
    </w:pPr>
    <w:rPr>
      <w:sz w:val="16"/>
      <w:szCs w:val="16"/>
      <w:lang w:eastAsia="x-none"/>
    </w:rPr>
  </w:style>
  <w:style w:type="character" w:customStyle="1" w:styleId="BodyText3Char">
    <w:name w:val="Body Text 3 Char"/>
    <w:basedOn w:val="DefaultParagraphFont"/>
    <w:link w:val="BodyText3"/>
    <w:rsid w:val="007104F0"/>
    <w:rPr>
      <w:rFonts w:ascii="CTimesRoman" w:eastAsia="Times New Roman" w:hAnsi="CTimesRoman" w:cs="Times New Roman"/>
      <w:sz w:val="16"/>
      <w:szCs w:val="16"/>
      <w:lang w:val="sr-Cyrl-CS" w:eastAsia="x-none"/>
    </w:rPr>
  </w:style>
  <w:style w:type="paragraph" w:styleId="BodyTextIndent3">
    <w:name w:val="Body Text Indent 3"/>
    <w:basedOn w:val="Normal"/>
    <w:link w:val="BodyTextIndent3Char"/>
    <w:rsid w:val="007104F0"/>
    <w:pPr>
      <w:spacing w:after="120"/>
      <w:ind w:left="360"/>
    </w:pPr>
    <w:rPr>
      <w:sz w:val="16"/>
      <w:szCs w:val="16"/>
      <w:lang w:eastAsia="x-none"/>
    </w:rPr>
  </w:style>
  <w:style w:type="character" w:customStyle="1" w:styleId="BodyTextIndent3Char">
    <w:name w:val="Body Text Indent 3 Char"/>
    <w:basedOn w:val="DefaultParagraphFont"/>
    <w:link w:val="BodyTextIndent3"/>
    <w:rsid w:val="007104F0"/>
    <w:rPr>
      <w:rFonts w:ascii="CTimesRoman" w:eastAsia="Times New Roman" w:hAnsi="CTimesRoman" w:cs="Times New Roman"/>
      <w:sz w:val="16"/>
      <w:szCs w:val="16"/>
      <w:lang w:val="sr-Cyrl-CS" w:eastAsia="x-none"/>
    </w:rPr>
  </w:style>
  <w:style w:type="character" w:styleId="PageNumber">
    <w:name w:val="page number"/>
    <w:basedOn w:val="DefaultParagraphFont"/>
    <w:rsid w:val="007104F0"/>
  </w:style>
  <w:style w:type="paragraph" w:styleId="Footer">
    <w:name w:val="footer"/>
    <w:basedOn w:val="Normal"/>
    <w:link w:val="FooterChar"/>
    <w:uiPriority w:val="99"/>
    <w:rsid w:val="007104F0"/>
    <w:pPr>
      <w:tabs>
        <w:tab w:val="center" w:pos="4320"/>
        <w:tab w:val="right" w:pos="8640"/>
      </w:tabs>
      <w:jc w:val="left"/>
    </w:pPr>
    <w:rPr>
      <w:rFonts w:ascii="Times New Roman" w:hAnsi="Times New Roman"/>
      <w:lang w:val="x-none" w:eastAsia="x-none"/>
    </w:rPr>
  </w:style>
  <w:style w:type="character" w:customStyle="1" w:styleId="FooterChar">
    <w:name w:val="Footer Char"/>
    <w:basedOn w:val="DefaultParagraphFont"/>
    <w:link w:val="Footer"/>
    <w:uiPriority w:val="99"/>
    <w:rsid w:val="007104F0"/>
    <w:rPr>
      <w:rFonts w:ascii="Times New Roman" w:eastAsia="Times New Roman" w:hAnsi="Times New Roman" w:cs="Times New Roman"/>
      <w:sz w:val="24"/>
      <w:szCs w:val="20"/>
      <w:lang w:val="x-none" w:eastAsia="x-none"/>
    </w:rPr>
  </w:style>
  <w:style w:type="paragraph" w:styleId="Subtitle">
    <w:name w:val="Subtitle"/>
    <w:basedOn w:val="Normal"/>
    <w:link w:val="SubtitleChar"/>
    <w:qFormat/>
    <w:rsid w:val="007104F0"/>
    <w:pPr>
      <w:jc w:val="center"/>
    </w:pPr>
    <w:rPr>
      <w:rFonts w:ascii="Times New Roman" w:hAnsi="Times New Roman"/>
      <w:b/>
      <w:bCs/>
      <w:szCs w:val="24"/>
      <w:lang w:eastAsia="x-none"/>
    </w:rPr>
  </w:style>
  <w:style w:type="character" w:customStyle="1" w:styleId="SubtitleChar">
    <w:name w:val="Subtitle Char"/>
    <w:basedOn w:val="DefaultParagraphFont"/>
    <w:link w:val="Subtitle"/>
    <w:rsid w:val="007104F0"/>
    <w:rPr>
      <w:rFonts w:ascii="Times New Roman" w:eastAsia="Times New Roman" w:hAnsi="Times New Roman" w:cs="Times New Roman"/>
      <w:b/>
      <w:bCs/>
      <w:sz w:val="24"/>
      <w:szCs w:val="24"/>
      <w:lang w:val="sr-Cyrl-CS" w:eastAsia="x-none"/>
    </w:rPr>
  </w:style>
  <w:style w:type="paragraph" w:styleId="Header">
    <w:name w:val="header"/>
    <w:basedOn w:val="Normal"/>
    <w:link w:val="HeaderChar"/>
    <w:uiPriority w:val="99"/>
    <w:rsid w:val="007104F0"/>
    <w:pPr>
      <w:tabs>
        <w:tab w:val="center" w:pos="4535"/>
        <w:tab w:val="right" w:pos="9071"/>
      </w:tabs>
    </w:pPr>
    <w:rPr>
      <w:lang w:eastAsia="x-none"/>
    </w:rPr>
  </w:style>
  <w:style w:type="character" w:customStyle="1" w:styleId="HeaderChar">
    <w:name w:val="Header Char"/>
    <w:basedOn w:val="DefaultParagraphFont"/>
    <w:link w:val="Header"/>
    <w:uiPriority w:val="99"/>
    <w:rsid w:val="007104F0"/>
    <w:rPr>
      <w:rFonts w:ascii="CTimesRoman" w:eastAsia="Times New Roman" w:hAnsi="CTimesRoman" w:cs="Times New Roman"/>
      <w:sz w:val="24"/>
      <w:szCs w:val="20"/>
      <w:lang w:val="sr-Cyrl-CS" w:eastAsia="x-none"/>
    </w:rPr>
  </w:style>
  <w:style w:type="paragraph" w:customStyle="1" w:styleId="Pismo">
    <w:name w:val="Pismo"/>
    <w:basedOn w:val="Normal"/>
    <w:next w:val="Normal"/>
    <w:rsid w:val="007104F0"/>
    <w:pPr>
      <w:keepNext/>
    </w:pPr>
    <w:rPr>
      <w:lang w:val="en-US"/>
    </w:rPr>
  </w:style>
  <w:style w:type="paragraph" w:styleId="BodyTextIndent2">
    <w:name w:val="Body Text Indent 2"/>
    <w:basedOn w:val="Normal"/>
    <w:link w:val="BodyTextIndent2Char"/>
    <w:rsid w:val="007104F0"/>
    <w:pPr>
      <w:spacing w:after="120" w:line="480" w:lineRule="auto"/>
      <w:ind w:left="360"/>
    </w:pPr>
    <w:rPr>
      <w:lang w:eastAsia="x-none"/>
    </w:rPr>
  </w:style>
  <w:style w:type="character" w:customStyle="1" w:styleId="BodyTextIndent2Char">
    <w:name w:val="Body Text Indent 2 Char"/>
    <w:basedOn w:val="DefaultParagraphFont"/>
    <w:link w:val="BodyTextIndent2"/>
    <w:rsid w:val="007104F0"/>
    <w:rPr>
      <w:rFonts w:ascii="CTimesRoman" w:eastAsia="Times New Roman" w:hAnsi="CTimesRoman" w:cs="Times New Roman"/>
      <w:sz w:val="24"/>
      <w:szCs w:val="20"/>
      <w:lang w:val="sr-Cyrl-CS" w:eastAsia="x-none"/>
    </w:rPr>
  </w:style>
  <w:style w:type="paragraph" w:customStyle="1" w:styleId="Buletiutekstu">
    <w:name w:val="Buleti u tekstu"/>
    <w:basedOn w:val="Normal"/>
    <w:rsid w:val="007104F0"/>
    <w:pPr>
      <w:tabs>
        <w:tab w:val="num" w:pos="1035"/>
      </w:tabs>
      <w:spacing w:before="120" w:line="260" w:lineRule="exact"/>
      <w:ind w:left="1035" w:hanging="360"/>
    </w:pPr>
    <w:rPr>
      <w:rFonts w:ascii="Times New Roman" w:hAnsi="Times New Roman"/>
      <w:bCs/>
      <w:szCs w:val="24"/>
      <w:lang w:val="it-IT"/>
    </w:rPr>
  </w:style>
  <w:style w:type="paragraph" w:customStyle="1" w:styleId="a">
    <w:name w:val="Текст"/>
    <w:basedOn w:val="Normal"/>
    <w:rsid w:val="007104F0"/>
    <w:pPr>
      <w:tabs>
        <w:tab w:val="left" w:pos="1418"/>
      </w:tabs>
      <w:spacing w:after="120"/>
    </w:pPr>
    <w:rPr>
      <w:rFonts w:ascii="Tahoma" w:hAnsi="Tahoma" w:cs="Tahoma"/>
      <w:sz w:val="20"/>
      <w:szCs w:val="24"/>
    </w:rPr>
  </w:style>
  <w:style w:type="paragraph" w:customStyle="1" w:styleId="Podnaslov">
    <w:name w:val="Podnaslov"/>
    <w:basedOn w:val="Normal"/>
    <w:rsid w:val="007104F0"/>
    <w:pPr>
      <w:keepNext/>
      <w:tabs>
        <w:tab w:val="left" w:pos="1800"/>
      </w:tabs>
      <w:spacing w:before="120" w:after="120"/>
      <w:ind w:left="720" w:right="720"/>
      <w:jc w:val="center"/>
    </w:pPr>
    <w:rPr>
      <w:rFonts w:ascii="Arial" w:hAnsi="Arial"/>
      <w:b/>
      <w:sz w:val="22"/>
    </w:rPr>
  </w:style>
  <w:style w:type="paragraph" w:customStyle="1" w:styleId="Normal1">
    <w:name w:val="Normal1"/>
    <w:basedOn w:val="Normal"/>
    <w:rsid w:val="007104F0"/>
    <w:pPr>
      <w:spacing w:before="100" w:beforeAutospacing="1" w:after="100" w:afterAutospacing="1"/>
      <w:jc w:val="left"/>
    </w:pPr>
    <w:rPr>
      <w:rFonts w:ascii="Arial" w:hAnsi="Arial" w:cs="Arial"/>
      <w:sz w:val="22"/>
      <w:szCs w:val="22"/>
      <w:lang w:val="sr-Latn-CS" w:eastAsia="sr-Latn-CS"/>
    </w:rPr>
  </w:style>
  <w:style w:type="paragraph" w:customStyle="1" w:styleId="clan">
    <w:name w:val="clan"/>
    <w:basedOn w:val="Normal"/>
    <w:rsid w:val="007104F0"/>
    <w:pPr>
      <w:spacing w:before="240" w:after="120"/>
      <w:jc w:val="center"/>
    </w:pPr>
    <w:rPr>
      <w:rFonts w:ascii="Arial" w:hAnsi="Arial" w:cs="Arial"/>
      <w:b/>
      <w:bCs/>
      <w:szCs w:val="24"/>
      <w:lang w:val="sr-Latn-CS" w:eastAsia="sr-Latn-CS"/>
    </w:rPr>
  </w:style>
  <w:style w:type="paragraph" w:customStyle="1" w:styleId="060---pododeljak">
    <w:name w:val="060---pododeljak"/>
    <w:basedOn w:val="Normal"/>
    <w:rsid w:val="007104F0"/>
    <w:pPr>
      <w:jc w:val="center"/>
    </w:pPr>
    <w:rPr>
      <w:rFonts w:ascii="Arial" w:hAnsi="Arial" w:cs="Arial"/>
      <w:sz w:val="31"/>
      <w:szCs w:val="31"/>
      <w:lang w:val="sr-Latn-CS" w:eastAsia="sr-Latn-CS"/>
    </w:rPr>
  </w:style>
  <w:style w:type="paragraph" w:customStyle="1" w:styleId="120---podnaslov-clana">
    <w:name w:val="120---podnaslov-clana"/>
    <w:basedOn w:val="Normal"/>
    <w:rsid w:val="007104F0"/>
    <w:pPr>
      <w:spacing w:before="240" w:after="240"/>
      <w:jc w:val="center"/>
    </w:pPr>
    <w:rPr>
      <w:rFonts w:ascii="Arial" w:hAnsi="Arial" w:cs="Arial"/>
      <w:i/>
      <w:iCs/>
      <w:szCs w:val="24"/>
      <w:lang w:val="sr-Latn-CS" w:eastAsia="sr-Latn-CS"/>
    </w:rPr>
  </w:style>
  <w:style w:type="paragraph" w:customStyle="1" w:styleId="Char">
    <w:name w:val="Char"/>
    <w:basedOn w:val="Normal"/>
    <w:rsid w:val="007104F0"/>
    <w:pPr>
      <w:spacing w:after="160" w:line="240" w:lineRule="exact"/>
      <w:jc w:val="left"/>
    </w:pPr>
    <w:rPr>
      <w:rFonts w:ascii="Verdana" w:hAnsi="Verdana"/>
      <w:sz w:val="20"/>
      <w:lang w:val="en-US"/>
    </w:rPr>
  </w:style>
  <w:style w:type="paragraph" w:customStyle="1" w:styleId="CharChar">
    <w:name w:val="Char Char"/>
    <w:basedOn w:val="Normal"/>
    <w:link w:val="CharCharChar1"/>
    <w:rsid w:val="007104F0"/>
    <w:pPr>
      <w:spacing w:after="160" w:line="240" w:lineRule="exact"/>
      <w:jc w:val="left"/>
    </w:pPr>
    <w:rPr>
      <w:rFonts w:ascii="Verdana" w:hAnsi="Verdana"/>
      <w:sz w:val="20"/>
      <w:lang w:val="en-US"/>
    </w:rPr>
  </w:style>
  <w:style w:type="character" w:customStyle="1" w:styleId="CharCharChar1">
    <w:name w:val="Char Char Char1"/>
    <w:link w:val="CharChar"/>
    <w:rsid w:val="007104F0"/>
    <w:rPr>
      <w:rFonts w:ascii="Verdana" w:eastAsia="Times New Roman" w:hAnsi="Verdana" w:cs="Times New Roman"/>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104F0"/>
    <w:pPr>
      <w:spacing w:after="160" w:line="240" w:lineRule="exact"/>
      <w:jc w:val="left"/>
    </w:pPr>
    <w:rPr>
      <w:rFonts w:ascii="Verdana" w:hAnsi="Verdana"/>
      <w:sz w:val="20"/>
      <w:lang w:val="en-US"/>
    </w:rPr>
  </w:style>
  <w:style w:type="paragraph" w:customStyle="1" w:styleId="1tekst">
    <w:name w:val="1tekst"/>
    <w:basedOn w:val="Normal"/>
    <w:rsid w:val="007104F0"/>
    <w:pPr>
      <w:ind w:left="261" w:right="261" w:firstLine="240"/>
    </w:pPr>
    <w:rPr>
      <w:rFonts w:ascii="Arial" w:hAnsi="Arial" w:cs="Arial"/>
      <w:sz w:val="20"/>
      <w:lang w:val="en-US"/>
    </w:rPr>
  </w:style>
  <w:style w:type="character" w:styleId="Hyperlink">
    <w:name w:val="Hyperlink"/>
    <w:rsid w:val="007104F0"/>
    <w:rPr>
      <w:color w:val="000080"/>
      <w:u w:val="single"/>
    </w:rPr>
  </w:style>
  <w:style w:type="paragraph" w:customStyle="1" w:styleId="NormalArial">
    <w:name w:val="Normal + Arial"/>
    <w:basedOn w:val="Normal"/>
    <w:link w:val="NormalArialChar"/>
    <w:rsid w:val="007104F0"/>
    <w:rPr>
      <w:rFonts w:ascii="Arial" w:hAnsi="Arial" w:cs="Arial"/>
      <w:b/>
      <w:szCs w:val="24"/>
      <w:lang w:val="ru-RU"/>
    </w:rPr>
  </w:style>
  <w:style w:type="character" w:customStyle="1" w:styleId="NormalArialChar">
    <w:name w:val="Normal + Arial Char"/>
    <w:link w:val="NormalArial"/>
    <w:rsid w:val="007104F0"/>
    <w:rPr>
      <w:rFonts w:ascii="Arial" w:eastAsia="Times New Roman" w:hAnsi="Arial" w:cs="Arial"/>
      <w:b/>
      <w:sz w:val="24"/>
      <w:szCs w:val="24"/>
      <w:lang w:val="ru-RU"/>
    </w:rPr>
  </w:style>
  <w:style w:type="paragraph" w:styleId="ListParagraph">
    <w:name w:val="List Paragraph"/>
    <w:basedOn w:val="Normal"/>
    <w:link w:val="ListParagraphChar"/>
    <w:uiPriority w:val="34"/>
    <w:qFormat/>
    <w:rsid w:val="007104F0"/>
    <w:pPr>
      <w:spacing w:after="200" w:line="276" w:lineRule="auto"/>
      <w:ind w:left="720"/>
      <w:contextualSpacing/>
      <w:jc w:val="left"/>
    </w:pPr>
    <w:rPr>
      <w:rFonts w:ascii="Calibri" w:hAnsi="Calibri"/>
      <w:sz w:val="22"/>
      <w:szCs w:val="22"/>
      <w:lang w:val="x-none" w:eastAsia="x-none"/>
    </w:rPr>
  </w:style>
  <w:style w:type="paragraph" w:styleId="BodyText2">
    <w:name w:val="Body Text 2"/>
    <w:basedOn w:val="Normal"/>
    <w:link w:val="BodyText2Char"/>
    <w:rsid w:val="007104F0"/>
    <w:pPr>
      <w:spacing w:after="120" w:line="480" w:lineRule="auto"/>
    </w:pPr>
    <w:rPr>
      <w:lang w:eastAsia="x-none"/>
    </w:rPr>
  </w:style>
  <w:style w:type="character" w:customStyle="1" w:styleId="BodyText2Char">
    <w:name w:val="Body Text 2 Char"/>
    <w:basedOn w:val="DefaultParagraphFont"/>
    <w:link w:val="BodyText2"/>
    <w:rsid w:val="007104F0"/>
    <w:rPr>
      <w:rFonts w:ascii="CTimesRoman" w:eastAsia="Times New Roman" w:hAnsi="CTimesRoman" w:cs="Times New Roman"/>
      <w:sz w:val="24"/>
      <w:szCs w:val="20"/>
      <w:lang w:val="sr-Cyrl-CS" w:eastAsia="x-none"/>
    </w:rPr>
  </w:style>
  <w:style w:type="paragraph" w:styleId="Title">
    <w:name w:val="Title"/>
    <w:basedOn w:val="Normal"/>
    <w:link w:val="TitleChar"/>
    <w:qFormat/>
    <w:rsid w:val="007104F0"/>
    <w:pPr>
      <w:jc w:val="center"/>
    </w:pPr>
    <w:rPr>
      <w:rFonts w:ascii="Times New Roman" w:hAnsi="Times New Roman"/>
      <w:b/>
      <w:bCs/>
      <w:sz w:val="32"/>
      <w:szCs w:val="24"/>
    </w:rPr>
  </w:style>
  <w:style w:type="character" w:customStyle="1" w:styleId="TitleChar">
    <w:name w:val="Title Char"/>
    <w:basedOn w:val="DefaultParagraphFont"/>
    <w:link w:val="Title"/>
    <w:rsid w:val="007104F0"/>
    <w:rPr>
      <w:rFonts w:ascii="Times New Roman" w:eastAsia="Times New Roman" w:hAnsi="Times New Roman" w:cs="Times New Roman"/>
      <w:b/>
      <w:bCs/>
      <w:sz w:val="32"/>
      <w:szCs w:val="24"/>
      <w:lang w:val="sr-Cyrl-CS"/>
    </w:rPr>
  </w:style>
  <w:style w:type="paragraph" w:customStyle="1" w:styleId="txt">
    <w:name w:val="txt"/>
    <w:basedOn w:val="Normal"/>
    <w:rsid w:val="007104F0"/>
    <w:pPr>
      <w:spacing w:before="100" w:beforeAutospacing="1" w:after="100" w:afterAutospacing="1"/>
      <w:jc w:val="left"/>
    </w:pPr>
    <w:rPr>
      <w:rFonts w:ascii="Verdana" w:hAnsi="Verdana"/>
      <w:color w:val="003366"/>
      <w:szCs w:val="24"/>
      <w:lang w:val="en-US"/>
    </w:rPr>
  </w:style>
  <w:style w:type="paragraph" w:customStyle="1" w:styleId="CharChar2CharCharCharChar">
    <w:name w:val="Char Char2 Char Char Char Char"/>
    <w:basedOn w:val="Normal"/>
    <w:rsid w:val="007104F0"/>
    <w:pPr>
      <w:tabs>
        <w:tab w:val="left" w:pos="709"/>
      </w:tabs>
      <w:jc w:val="left"/>
    </w:pPr>
    <w:rPr>
      <w:rFonts w:ascii="Arial Narrow" w:hAnsi="Arial Narrow"/>
      <w:b/>
      <w:sz w:val="26"/>
      <w:szCs w:val="24"/>
      <w:lang w:val="pl-PL" w:eastAsia="pl-PL"/>
    </w:rPr>
  </w:style>
  <w:style w:type="character" w:styleId="FootnoteReference">
    <w:name w:val="footnote reference"/>
    <w:aliases w:val="BVI fnr"/>
    <w:uiPriority w:val="99"/>
    <w:rsid w:val="007104F0"/>
    <w:rPr>
      <w:vertAlign w:val="superscript"/>
    </w:rPr>
  </w:style>
  <w:style w:type="paragraph" w:customStyle="1" w:styleId="CharCharCharCharChar">
    <w:name w:val="Char Char Char Char Char"/>
    <w:basedOn w:val="Normal"/>
    <w:link w:val="CharCharCharCharCharChar1"/>
    <w:rsid w:val="007104F0"/>
    <w:pPr>
      <w:spacing w:after="160" w:line="240" w:lineRule="exact"/>
      <w:jc w:val="left"/>
    </w:pPr>
    <w:rPr>
      <w:rFonts w:ascii="Verdana" w:hAnsi="Verdana"/>
      <w:sz w:val="20"/>
      <w:lang w:val="en-US"/>
    </w:rPr>
  </w:style>
  <w:style w:type="character" w:customStyle="1" w:styleId="CharCharCharCharCharChar1">
    <w:name w:val="Char Char Char Char Char Char1"/>
    <w:link w:val="CharCharCharCharChar"/>
    <w:rsid w:val="007104F0"/>
    <w:rPr>
      <w:rFonts w:ascii="Verdana" w:eastAsia="Times New Roman" w:hAnsi="Verdana" w:cs="Times New Roman"/>
      <w:sz w:val="20"/>
      <w:szCs w:val="20"/>
    </w:rPr>
  </w:style>
  <w:style w:type="paragraph" w:customStyle="1" w:styleId="Naslov2CharCharChar">
    <w:name w:val="Naslov 2 Char Char Char"/>
    <w:basedOn w:val="Normal"/>
    <w:rsid w:val="007104F0"/>
    <w:pPr>
      <w:tabs>
        <w:tab w:val="left" w:pos="567"/>
      </w:tabs>
      <w:spacing w:before="120" w:after="160" w:line="240" w:lineRule="exact"/>
      <w:ind w:left="1584" w:hanging="504"/>
      <w:jc w:val="left"/>
    </w:pPr>
    <w:rPr>
      <w:rFonts w:ascii="Arial" w:hAnsi="Arial"/>
      <w:b/>
      <w:bCs/>
      <w:color w:val="000000"/>
      <w:szCs w:val="24"/>
      <w:lang w:val="en-US"/>
    </w:rPr>
  </w:style>
  <w:style w:type="paragraph" w:customStyle="1" w:styleId="CharCharCharCharChar3">
    <w:name w:val="Char Char Char Char Char3"/>
    <w:basedOn w:val="Normal"/>
    <w:rsid w:val="007104F0"/>
    <w:pPr>
      <w:spacing w:after="160" w:line="240" w:lineRule="exact"/>
      <w:jc w:val="left"/>
    </w:pPr>
    <w:rPr>
      <w:rFonts w:ascii="Verdana" w:hAnsi="Verdana"/>
      <w:sz w:val="20"/>
      <w:lang w:val="en-US"/>
    </w:rPr>
  </w:style>
  <w:style w:type="paragraph" w:customStyle="1" w:styleId="CharCharCharCharCharCharCharCharCharCharCharCharChar">
    <w:name w:val="Char Char Char Char Char Char Char Char Char Char Char Char Char"/>
    <w:basedOn w:val="Normal"/>
    <w:rsid w:val="007104F0"/>
    <w:pPr>
      <w:spacing w:after="160" w:line="240" w:lineRule="exact"/>
      <w:jc w:val="left"/>
    </w:pPr>
    <w:rPr>
      <w:rFonts w:ascii="Verdana" w:hAnsi="Verdana"/>
      <w:sz w:val="20"/>
      <w:lang w:val="en-US"/>
    </w:rPr>
  </w:style>
  <w:style w:type="character" w:customStyle="1" w:styleId="CharCharChar">
    <w:name w:val="Char Char Char"/>
    <w:rsid w:val="007104F0"/>
    <w:rPr>
      <w:sz w:val="24"/>
      <w:lang w:val="sr-Cyrl-CS" w:eastAsia="en-US" w:bidi="ar-SA"/>
    </w:rPr>
  </w:style>
  <w:style w:type="table" w:styleId="TableGrid">
    <w:name w:val="Table Grid"/>
    <w:basedOn w:val="TableNormal"/>
    <w:uiPriority w:val="39"/>
    <w:rsid w:val="007104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
    <w:name w:val="Char Char Char6"/>
    <w:basedOn w:val="Normal"/>
    <w:rsid w:val="007104F0"/>
    <w:pPr>
      <w:tabs>
        <w:tab w:val="left" w:pos="567"/>
      </w:tabs>
      <w:spacing w:before="120" w:after="160" w:line="240" w:lineRule="exact"/>
      <w:ind w:left="1584" w:hanging="504"/>
      <w:jc w:val="left"/>
    </w:pPr>
    <w:rPr>
      <w:rFonts w:ascii="Arial" w:hAnsi="Arial" w:cs="Arial"/>
      <w:b/>
      <w:bCs/>
      <w:color w:val="000000"/>
      <w:szCs w:val="24"/>
      <w:lang w:val="en-US"/>
    </w:rPr>
  </w:style>
  <w:style w:type="paragraph" w:customStyle="1" w:styleId="CharCharCharChar9">
    <w:name w:val="Char Char Char Char9"/>
    <w:basedOn w:val="Normal"/>
    <w:rsid w:val="007104F0"/>
    <w:pPr>
      <w:spacing w:after="160" w:line="240" w:lineRule="exact"/>
      <w:jc w:val="left"/>
    </w:pPr>
    <w:rPr>
      <w:rFonts w:ascii="Tahoma" w:hAnsi="Tahoma" w:cs="Tahoma"/>
      <w:sz w:val="20"/>
      <w:lang w:val="en-US"/>
    </w:rPr>
  </w:style>
  <w:style w:type="paragraph" w:customStyle="1" w:styleId="CharCharCharChar1">
    <w:name w:val="Char Char Char Char1"/>
    <w:basedOn w:val="Normal"/>
    <w:rsid w:val="007104F0"/>
    <w:pPr>
      <w:spacing w:after="160" w:line="240" w:lineRule="exact"/>
      <w:jc w:val="left"/>
    </w:pPr>
    <w:rPr>
      <w:rFonts w:ascii="Tahoma" w:hAnsi="Tahoma" w:cs="Tahoma"/>
      <w:sz w:val="20"/>
      <w:lang w:val="en-US"/>
    </w:rPr>
  </w:style>
  <w:style w:type="paragraph" w:customStyle="1" w:styleId="CharCharCharChar2">
    <w:name w:val="Char Char Char Char2"/>
    <w:basedOn w:val="Normal"/>
    <w:rsid w:val="007104F0"/>
    <w:pPr>
      <w:spacing w:after="160" w:line="240" w:lineRule="exact"/>
      <w:jc w:val="left"/>
    </w:pPr>
    <w:rPr>
      <w:rFonts w:ascii="Tahoma" w:hAnsi="Tahoma" w:cs="Tahoma"/>
      <w:sz w:val="20"/>
      <w:lang w:val="en-US"/>
    </w:rPr>
  </w:style>
  <w:style w:type="paragraph" w:customStyle="1" w:styleId="CharCharCharChar3">
    <w:name w:val="Char Char Char Char3"/>
    <w:basedOn w:val="Normal"/>
    <w:rsid w:val="007104F0"/>
    <w:pPr>
      <w:spacing w:after="160" w:line="240" w:lineRule="exact"/>
      <w:jc w:val="left"/>
    </w:pPr>
    <w:rPr>
      <w:rFonts w:ascii="Tahoma" w:hAnsi="Tahoma" w:cs="Tahoma"/>
      <w:sz w:val="20"/>
      <w:lang w:val="en-US"/>
    </w:rPr>
  </w:style>
  <w:style w:type="paragraph" w:customStyle="1" w:styleId="CharCharCharChar4">
    <w:name w:val="Char Char Char Char4"/>
    <w:basedOn w:val="Normal"/>
    <w:rsid w:val="007104F0"/>
    <w:pPr>
      <w:spacing w:after="160" w:line="240" w:lineRule="exact"/>
      <w:jc w:val="left"/>
    </w:pPr>
    <w:rPr>
      <w:rFonts w:ascii="Tahoma" w:hAnsi="Tahoma" w:cs="Tahoma"/>
      <w:sz w:val="20"/>
      <w:lang w:val="en-US"/>
    </w:rPr>
  </w:style>
  <w:style w:type="paragraph" w:customStyle="1" w:styleId="Default">
    <w:name w:val="Default"/>
    <w:link w:val="DefaultChar"/>
    <w:rsid w:val="007104F0"/>
    <w:pPr>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7104F0"/>
    <w:rPr>
      <w:rFonts w:ascii="Arial" w:eastAsia="Times New Roman" w:hAnsi="Arial" w:cs="Arial"/>
      <w:color w:val="000000"/>
      <w:sz w:val="24"/>
      <w:szCs w:val="24"/>
    </w:rPr>
  </w:style>
  <w:style w:type="paragraph" w:customStyle="1" w:styleId="4clan">
    <w:name w:val="4clan"/>
    <w:basedOn w:val="Normal"/>
    <w:rsid w:val="007104F0"/>
    <w:pPr>
      <w:spacing w:before="30" w:after="30"/>
      <w:jc w:val="center"/>
    </w:pPr>
    <w:rPr>
      <w:rFonts w:ascii="Arial" w:hAnsi="Arial" w:cs="Arial"/>
      <w:b/>
      <w:bCs/>
      <w:sz w:val="20"/>
      <w:lang w:val="en-US"/>
    </w:rPr>
  </w:style>
  <w:style w:type="character" w:customStyle="1" w:styleId="CharChar3">
    <w:name w:val="Char Char3"/>
    <w:rsid w:val="007104F0"/>
    <w:rPr>
      <w:sz w:val="24"/>
      <w:lang w:val="sr-Cyrl-C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7104F0"/>
    <w:pPr>
      <w:tabs>
        <w:tab w:val="left" w:pos="709"/>
      </w:tabs>
      <w:jc w:val="left"/>
    </w:pPr>
    <w:rPr>
      <w:rFonts w:ascii="Arial Narrow" w:hAnsi="Arial Narrow"/>
      <w:b/>
      <w:sz w:val="26"/>
      <w:szCs w:val="24"/>
      <w:lang w:val="pl-PL" w:eastAsia="pl-PL"/>
    </w:rPr>
  </w:style>
  <w:style w:type="paragraph" w:customStyle="1" w:styleId="Clan0">
    <w:name w:val="Clan"/>
    <w:basedOn w:val="Normal"/>
    <w:rsid w:val="007104F0"/>
    <w:pPr>
      <w:keepNext/>
      <w:tabs>
        <w:tab w:val="left" w:pos="1080"/>
      </w:tabs>
      <w:spacing w:before="120" w:after="120"/>
      <w:ind w:left="720" w:right="720"/>
      <w:jc w:val="center"/>
    </w:pPr>
    <w:rPr>
      <w:rFonts w:ascii="Arial" w:hAnsi="Arial"/>
      <w:b/>
      <w:sz w:val="22"/>
    </w:rPr>
  </w:style>
  <w:style w:type="paragraph" w:customStyle="1" w:styleId="TableContents">
    <w:name w:val="Table Contents"/>
    <w:basedOn w:val="Normal"/>
    <w:rsid w:val="007104F0"/>
    <w:pPr>
      <w:widowControl w:val="0"/>
      <w:suppressLineNumbers/>
      <w:suppressAutoHyphens/>
      <w:jc w:val="left"/>
    </w:pPr>
    <w:rPr>
      <w:rFonts w:ascii="Times New Roman" w:eastAsia="Lucida Sans Unicode" w:hAnsi="Times New Roman"/>
      <w:kern w:val="1"/>
      <w:szCs w:val="24"/>
      <w:lang w:val="en-US"/>
    </w:rPr>
  </w:style>
  <w:style w:type="paragraph" w:customStyle="1" w:styleId="Style1">
    <w:name w:val="Style1"/>
    <w:basedOn w:val="Normal"/>
    <w:rsid w:val="007104F0"/>
    <w:rPr>
      <w:rFonts w:ascii="Times New Roman" w:hAnsi="Times New Roman"/>
      <w:szCs w:val="24"/>
      <w:lang w:val="en-US"/>
    </w:rPr>
  </w:style>
  <w:style w:type="paragraph" w:customStyle="1" w:styleId="Style2">
    <w:name w:val="Style2"/>
    <w:basedOn w:val="Normal"/>
    <w:rsid w:val="007104F0"/>
    <w:pPr>
      <w:jc w:val="center"/>
    </w:pPr>
    <w:rPr>
      <w:rFonts w:ascii="Times New Roman" w:hAnsi="Times New Roman"/>
      <w:b/>
      <w:sz w:val="28"/>
      <w:szCs w:val="24"/>
      <w:lang w:val="en-US"/>
    </w:rPr>
  </w:style>
  <w:style w:type="character" w:customStyle="1" w:styleId="CharChar2">
    <w:name w:val="Char Char2"/>
    <w:rsid w:val="007104F0"/>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7104F0"/>
    <w:rPr>
      <w:rFonts w:ascii="Tahoma" w:hAnsi="Tahoma"/>
      <w:sz w:val="16"/>
      <w:szCs w:val="16"/>
      <w:lang w:eastAsia="x-none"/>
    </w:rPr>
  </w:style>
  <w:style w:type="character" w:customStyle="1" w:styleId="BalloonTextChar">
    <w:name w:val="Balloon Text Char"/>
    <w:basedOn w:val="DefaultParagraphFont"/>
    <w:link w:val="BalloonText"/>
    <w:uiPriority w:val="99"/>
    <w:rsid w:val="007104F0"/>
    <w:rPr>
      <w:rFonts w:ascii="Tahoma" w:eastAsia="Times New Roman" w:hAnsi="Tahoma" w:cs="Times New Roman"/>
      <w:sz w:val="16"/>
      <w:szCs w:val="16"/>
      <w:lang w:val="sr-Cyrl-CS" w:eastAsia="x-none"/>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Car Car"/>
    <w:basedOn w:val="Normal"/>
    <w:link w:val="FootnoteTextChar"/>
    <w:uiPriority w:val="99"/>
    <w:rsid w:val="007104F0"/>
    <w:pPr>
      <w:jc w:val="left"/>
    </w:pPr>
    <w:rPr>
      <w:rFonts w:ascii="Times New Roman" w:hAnsi="Times New Roman"/>
      <w:sz w:val="20"/>
      <w:lang w:val="en-US"/>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Car Car Char"/>
    <w:basedOn w:val="DefaultParagraphFont"/>
    <w:link w:val="FootnoteText"/>
    <w:uiPriority w:val="99"/>
    <w:rsid w:val="007104F0"/>
    <w:rPr>
      <w:rFonts w:ascii="Times New Roman" w:eastAsia="Times New Roman" w:hAnsi="Times New Roman" w:cs="Times New Roman"/>
      <w:sz w:val="20"/>
      <w:szCs w:val="20"/>
    </w:rPr>
  </w:style>
  <w:style w:type="character" w:styleId="CommentReference">
    <w:name w:val="annotation reference"/>
    <w:uiPriority w:val="99"/>
    <w:rsid w:val="007104F0"/>
    <w:rPr>
      <w:sz w:val="16"/>
      <w:szCs w:val="16"/>
    </w:rPr>
  </w:style>
  <w:style w:type="paragraph" w:customStyle="1" w:styleId="PIMIPATextCharChar">
    <w:name w:val="PIMIPA Text Char Char"/>
    <w:basedOn w:val="BodyText"/>
    <w:qFormat/>
    <w:rsid w:val="007104F0"/>
    <w:pPr>
      <w:spacing w:before="40" w:after="80"/>
      <w:ind w:left="1134"/>
      <w:jc w:val="both"/>
    </w:pPr>
    <w:rPr>
      <w:rFonts w:ascii="Garamond" w:hAnsi="Garamond"/>
      <w:caps/>
      <w:color w:val="808080"/>
      <w:spacing w:val="-5"/>
      <w:kern w:val="28"/>
      <w:szCs w:val="24"/>
      <w:lang w:val="en-GB"/>
    </w:rPr>
  </w:style>
  <w:style w:type="paragraph" w:customStyle="1" w:styleId="CharCharCharCharCharCharCharCharCharChar">
    <w:name w:val="Char Char Char Char Char Char Char Char Char Char"/>
    <w:basedOn w:val="Normal"/>
    <w:link w:val="CharCharCharCharCharCharCharCharCharCharChar"/>
    <w:rsid w:val="007104F0"/>
    <w:pPr>
      <w:spacing w:after="160" w:line="240" w:lineRule="exact"/>
      <w:jc w:val="left"/>
    </w:pPr>
    <w:rPr>
      <w:rFonts w:ascii="Tahoma" w:hAnsi="Tahoma"/>
      <w:sz w:val="20"/>
      <w:lang w:val="en-US"/>
    </w:rPr>
  </w:style>
  <w:style w:type="character" w:customStyle="1" w:styleId="CharCharCharCharCharCharCharCharCharCharChar">
    <w:name w:val="Char Char Char Char Char Char Char Char Char Char Char"/>
    <w:link w:val="CharCharCharCharCharCharCharCharCharChar"/>
    <w:rsid w:val="007104F0"/>
    <w:rPr>
      <w:rFonts w:ascii="Tahoma" w:eastAsia="Times New Roman" w:hAnsi="Tahoma" w:cs="Times New Roman"/>
      <w:sz w:val="20"/>
      <w:szCs w:val="20"/>
    </w:rPr>
  </w:style>
  <w:style w:type="paragraph" w:customStyle="1" w:styleId="CharCharCharCharCharCharCharChar">
    <w:name w:val="Char Char Char Char Char Char Char Char"/>
    <w:basedOn w:val="Normal"/>
    <w:rsid w:val="007104F0"/>
    <w:pPr>
      <w:spacing w:after="160" w:line="240" w:lineRule="exact"/>
      <w:jc w:val="left"/>
    </w:pPr>
    <w:rPr>
      <w:rFonts w:ascii="Verdana" w:hAnsi="Verdana"/>
      <w:sz w:val="20"/>
      <w:lang w:val="en-US"/>
    </w:rPr>
  </w:style>
  <w:style w:type="paragraph" w:customStyle="1" w:styleId="DecimalAligned">
    <w:name w:val="Decimal Aligned"/>
    <w:basedOn w:val="Normal"/>
    <w:qFormat/>
    <w:rsid w:val="007104F0"/>
    <w:pPr>
      <w:tabs>
        <w:tab w:val="decimal" w:pos="360"/>
      </w:tabs>
      <w:spacing w:after="200" w:line="276" w:lineRule="auto"/>
      <w:jc w:val="left"/>
    </w:pPr>
    <w:rPr>
      <w:rFonts w:ascii="Calibri" w:hAnsi="Calibri"/>
      <w:sz w:val="22"/>
      <w:szCs w:val="22"/>
      <w:lang w:val="en-US"/>
    </w:rPr>
  </w:style>
  <w:style w:type="character" w:styleId="SubtleEmphasis">
    <w:name w:val="Subtle Emphasis"/>
    <w:qFormat/>
    <w:rsid w:val="007104F0"/>
    <w:rPr>
      <w:rFonts w:eastAsia="Times New Roman" w:cs="Times New Roman"/>
      <w:bCs w:val="0"/>
      <w:i/>
      <w:iCs/>
      <w:color w:val="808080"/>
      <w:szCs w:val="22"/>
      <w:lang w:val="en-US"/>
    </w:rPr>
  </w:style>
  <w:style w:type="paragraph" w:styleId="CommentText">
    <w:name w:val="annotation text"/>
    <w:basedOn w:val="Normal"/>
    <w:link w:val="CommentTextChar"/>
    <w:uiPriority w:val="99"/>
    <w:rsid w:val="007104F0"/>
    <w:rPr>
      <w:sz w:val="20"/>
      <w:lang w:eastAsia="x-none"/>
    </w:rPr>
  </w:style>
  <w:style w:type="character" w:customStyle="1" w:styleId="CommentTextChar">
    <w:name w:val="Comment Text Char"/>
    <w:basedOn w:val="DefaultParagraphFont"/>
    <w:link w:val="CommentText"/>
    <w:uiPriority w:val="99"/>
    <w:rsid w:val="007104F0"/>
    <w:rPr>
      <w:rFonts w:ascii="CTimesRoman" w:eastAsia="Times New Roman" w:hAnsi="CTimesRoman" w:cs="Times New Roman"/>
      <w:sz w:val="20"/>
      <w:szCs w:val="20"/>
      <w:lang w:val="sr-Cyrl-CS" w:eastAsia="x-none"/>
    </w:rPr>
  </w:style>
  <w:style w:type="paragraph" w:styleId="CommentSubject">
    <w:name w:val="annotation subject"/>
    <w:basedOn w:val="CommentText"/>
    <w:next w:val="CommentText"/>
    <w:link w:val="CommentSubjectChar"/>
    <w:uiPriority w:val="99"/>
    <w:rsid w:val="007104F0"/>
    <w:rPr>
      <w:b/>
      <w:bCs/>
    </w:rPr>
  </w:style>
  <w:style w:type="character" w:customStyle="1" w:styleId="CommentSubjectChar">
    <w:name w:val="Comment Subject Char"/>
    <w:basedOn w:val="CommentTextChar"/>
    <w:link w:val="CommentSubject"/>
    <w:uiPriority w:val="99"/>
    <w:rsid w:val="007104F0"/>
    <w:rPr>
      <w:rFonts w:ascii="CTimesRoman" w:eastAsia="Times New Roman" w:hAnsi="CTimesRoman" w:cs="Times New Roman"/>
      <w:b/>
      <w:bCs/>
      <w:sz w:val="20"/>
      <w:szCs w:val="20"/>
      <w:lang w:val="sr-Cyrl-CS" w:eastAsia="x-none"/>
    </w:rPr>
  </w:style>
  <w:style w:type="paragraph" w:customStyle="1" w:styleId="CharCharCharCharCharCharCharCharCharChar1">
    <w:name w:val="Char Char Char Char Char Char Char Char Char Char1"/>
    <w:basedOn w:val="Normal"/>
    <w:rsid w:val="007104F0"/>
    <w:pPr>
      <w:spacing w:after="160" w:line="240" w:lineRule="exact"/>
      <w:jc w:val="left"/>
    </w:pPr>
    <w:rPr>
      <w:rFonts w:ascii="Tahoma" w:hAnsi="Tahoma"/>
      <w:sz w:val="20"/>
      <w:lang w:val="en-US"/>
    </w:rPr>
  </w:style>
  <w:style w:type="paragraph" w:customStyle="1" w:styleId="Text1">
    <w:name w:val="Text 1"/>
    <w:basedOn w:val="Normal"/>
    <w:link w:val="Text1Char"/>
    <w:rsid w:val="007104F0"/>
    <w:pPr>
      <w:spacing w:before="120" w:after="120"/>
      <w:ind w:left="850"/>
    </w:pPr>
    <w:rPr>
      <w:rFonts w:ascii="Times New Roman" w:hAnsi="Times New Roman"/>
      <w:szCs w:val="24"/>
      <w:lang w:val="en-GB" w:eastAsia="de-DE"/>
    </w:rPr>
  </w:style>
  <w:style w:type="character" w:customStyle="1" w:styleId="Text1Char">
    <w:name w:val="Text 1 Char"/>
    <w:link w:val="Text1"/>
    <w:rsid w:val="007104F0"/>
    <w:rPr>
      <w:rFonts w:ascii="Times New Roman" w:eastAsia="Times New Roman" w:hAnsi="Times New Roman" w:cs="Times New Roman"/>
      <w:sz w:val="24"/>
      <w:szCs w:val="24"/>
      <w:lang w:val="en-GB" w:eastAsia="de-DE"/>
    </w:rPr>
  </w:style>
  <w:style w:type="paragraph" w:styleId="NoSpacing">
    <w:name w:val="No Spacing"/>
    <w:uiPriority w:val="1"/>
    <w:qFormat/>
    <w:rsid w:val="007104F0"/>
    <w:rPr>
      <w:rFonts w:ascii="Arial" w:eastAsia="Times New Roman" w:hAnsi="Arial" w:cs="Times New Roman"/>
      <w:sz w:val="24"/>
      <w:szCs w:val="24"/>
      <w:lang w:val="en-CA"/>
    </w:rPr>
  </w:style>
  <w:style w:type="character" w:customStyle="1" w:styleId="FontStyle13">
    <w:name w:val="Font Style13"/>
    <w:rsid w:val="007104F0"/>
    <w:rPr>
      <w:rFonts w:ascii="Times New Roman" w:hAnsi="Times New Roman" w:cs="Times New Roman"/>
      <w:sz w:val="22"/>
      <w:szCs w:val="22"/>
    </w:rPr>
  </w:style>
  <w:style w:type="paragraph" w:customStyle="1" w:styleId="ProposalBodyCharCharCharCharCharCharCharCharChar1CharCharCharCharChar">
    <w:name w:val="Proposal Body Char Char Char Char Char Char Char Char Char1 Char Char Char Char Char"/>
    <w:basedOn w:val="Normal"/>
    <w:next w:val="Normal"/>
    <w:rsid w:val="007104F0"/>
    <w:pPr>
      <w:adjustRightInd w:val="0"/>
      <w:snapToGrid w:val="0"/>
      <w:spacing w:before="120" w:after="120"/>
    </w:pPr>
    <w:rPr>
      <w:rFonts w:ascii="Arial" w:hAnsi="Arial" w:cs="Arial"/>
      <w:sz w:val="20"/>
      <w:lang w:val="en-GB"/>
    </w:rPr>
  </w:style>
  <w:style w:type="paragraph" w:customStyle="1" w:styleId="DefaultParagraphFontChar">
    <w:name w:val="Default Paragraph Font Char"/>
    <w:aliases w:val=" Char Char Car Char Car Char Car Char Car Char Car Char Car Char Char,Char Char Car Char Car Char Car Char Car Char Car Char Car Char Char"/>
    <w:basedOn w:val="Normal"/>
    <w:rsid w:val="007104F0"/>
    <w:pPr>
      <w:spacing w:after="160" w:line="240" w:lineRule="exact"/>
      <w:jc w:val="left"/>
    </w:pPr>
    <w:rPr>
      <w:rFonts w:ascii="Arial" w:hAnsi="Arial" w:cs="Arial"/>
      <w:sz w:val="20"/>
      <w:lang w:val="en-US"/>
    </w:rPr>
  </w:style>
  <w:style w:type="character" w:customStyle="1" w:styleId="Text1CharChar">
    <w:name w:val="Text 1 Char Char"/>
    <w:rsid w:val="007104F0"/>
    <w:rPr>
      <w:sz w:val="24"/>
      <w:szCs w:val="24"/>
      <w:lang w:val="en-GB" w:eastAsia="de-DE" w:bidi="ar-SA"/>
    </w:rPr>
  </w:style>
  <w:style w:type="paragraph" w:customStyle="1" w:styleId="CharCharCharCharCharCharChar">
    <w:name w:val="Char Char Char Char Char Char Char"/>
    <w:basedOn w:val="Normal"/>
    <w:rsid w:val="007104F0"/>
    <w:pPr>
      <w:spacing w:after="160" w:line="240" w:lineRule="exact"/>
      <w:jc w:val="left"/>
    </w:pPr>
    <w:rPr>
      <w:rFonts w:ascii="Tahoma" w:hAnsi="Tahoma"/>
      <w:sz w:val="20"/>
      <w:lang w:val="en-US"/>
    </w:rPr>
  </w:style>
  <w:style w:type="paragraph" w:customStyle="1" w:styleId="Text2Char">
    <w:name w:val="Text 2 Char"/>
    <w:basedOn w:val="Normal"/>
    <w:link w:val="Text2CharChar"/>
    <w:semiHidden/>
    <w:rsid w:val="007104F0"/>
    <w:pPr>
      <w:tabs>
        <w:tab w:val="left" w:pos="2161"/>
      </w:tabs>
      <w:spacing w:after="240"/>
      <w:ind w:left="1202"/>
    </w:pPr>
    <w:rPr>
      <w:rFonts w:ascii="Tahoma" w:hAnsi="Tahoma"/>
      <w:color w:val="000000"/>
      <w:szCs w:val="24"/>
      <w:lang w:val="en-GB" w:eastAsia="en-GB"/>
    </w:rPr>
  </w:style>
  <w:style w:type="character" w:customStyle="1" w:styleId="Text2CharChar">
    <w:name w:val="Text 2 Char Char"/>
    <w:link w:val="Text2Char"/>
    <w:rsid w:val="007104F0"/>
    <w:rPr>
      <w:rFonts w:ascii="Tahoma" w:eastAsia="Times New Roman" w:hAnsi="Tahoma" w:cs="Times New Roman"/>
      <w:color w:val="000000"/>
      <w:sz w:val="24"/>
      <w:szCs w:val="24"/>
      <w:lang w:val="en-GB" w:eastAsia="en-GB"/>
    </w:rPr>
  </w:style>
  <w:style w:type="paragraph" w:customStyle="1" w:styleId="CharCharCharCharCharCharCharCharCharCharCharChar">
    <w:name w:val="Char Char Char Char Char Char Char Char Char Char Char Char"/>
    <w:basedOn w:val="Normal"/>
    <w:rsid w:val="007104F0"/>
    <w:pPr>
      <w:spacing w:after="160" w:line="240" w:lineRule="exact"/>
      <w:jc w:val="left"/>
    </w:pPr>
    <w:rPr>
      <w:rFonts w:ascii="Tahoma" w:hAnsi="Tahoma"/>
      <w:sz w:val="20"/>
      <w:lang w:val="en-US"/>
    </w:rPr>
  </w:style>
  <w:style w:type="paragraph" w:customStyle="1" w:styleId="Zakon">
    <w:name w:val="Zakon"/>
    <w:basedOn w:val="Normal"/>
    <w:rsid w:val="007104F0"/>
    <w:pPr>
      <w:keepNext/>
      <w:tabs>
        <w:tab w:val="left" w:pos="1080"/>
      </w:tabs>
      <w:spacing w:after="120"/>
      <w:ind w:left="720" w:right="720"/>
      <w:jc w:val="center"/>
    </w:pPr>
    <w:rPr>
      <w:rFonts w:ascii="Arial" w:eastAsia="Calibri" w:hAnsi="Arial" w:cs="Arial"/>
      <w:b/>
      <w:caps/>
      <w:sz w:val="34"/>
      <w:szCs w:val="22"/>
    </w:rPr>
  </w:style>
  <w:style w:type="paragraph" w:customStyle="1" w:styleId="CharCharCharCharCharCharCharChar3">
    <w:name w:val="Char Char Char Char Char Char Char Char3"/>
    <w:basedOn w:val="Normal"/>
    <w:rsid w:val="007104F0"/>
    <w:pPr>
      <w:spacing w:after="160" w:line="240" w:lineRule="exact"/>
      <w:jc w:val="left"/>
    </w:pPr>
    <w:rPr>
      <w:rFonts w:ascii="Verdana" w:hAnsi="Verdana"/>
      <w:sz w:val="20"/>
      <w:lang w:val="en-US"/>
    </w:rPr>
  </w:style>
  <w:style w:type="paragraph" w:customStyle="1" w:styleId="Normal11">
    <w:name w:val="Normal11"/>
    <w:basedOn w:val="Normal"/>
    <w:rsid w:val="007104F0"/>
    <w:pPr>
      <w:spacing w:before="100" w:beforeAutospacing="1" w:after="100" w:afterAutospacing="1"/>
      <w:jc w:val="left"/>
    </w:pPr>
    <w:rPr>
      <w:rFonts w:ascii="Arial" w:hAnsi="Arial" w:cs="Arial"/>
      <w:sz w:val="22"/>
      <w:szCs w:val="22"/>
      <w:lang w:val="sr-Latn-CS" w:eastAsia="sr-Latn-CS"/>
    </w:rPr>
  </w:style>
  <w:style w:type="character" w:styleId="FollowedHyperlink">
    <w:name w:val="FollowedHyperlink"/>
    <w:rsid w:val="007104F0"/>
    <w:rPr>
      <w:color w:val="800080"/>
      <w:u w:val="single"/>
    </w:rPr>
  </w:style>
  <w:style w:type="paragraph" w:customStyle="1" w:styleId="rvps1">
    <w:name w:val="rvps1"/>
    <w:basedOn w:val="Normal"/>
    <w:rsid w:val="007104F0"/>
    <w:pPr>
      <w:jc w:val="left"/>
    </w:pPr>
    <w:rPr>
      <w:rFonts w:ascii="Times New Roman" w:hAnsi="Times New Roman"/>
      <w:szCs w:val="24"/>
      <w:lang w:val="en-US"/>
    </w:rPr>
  </w:style>
  <w:style w:type="character" w:styleId="Strong">
    <w:name w:val="Strong"/>
    <w:qFormat/>
    <w:rsid w:val="007104F0"/>
    <w:rPr>
      <w:b/>
      <w:bCs/>
    </w:rPr>
  </w:style>
  <w:style w:type="paragraph" w:customStyle="1" w:styleId="IFS2012tekst">
    <w:name w:val="IFS 2012 tekst"/>
    <w:basedOn w:val="Normal"/>
    <w:uiPriority w:val="99"/>
    <w:qFormat/>
    <w:rsid w:val="007104F0"/>
    <w:pPr>
      <w:spacing w:after="120"/>
    </w:pPr>
    <w:rPr>
      <w:rFonts w:ascii="Cambria" w:eastAsia="Calibri" w:hAnsi="Cambria"/>
      <w:sz w:val="21"/>
      <w:szCs w:val="22"/>
    </w:rPr>
  </w:style>
  <w:style w:type="paragraph" w:customStyle="1" w:styleId="CharCharCharCharCharCharCharCharCharChar14">
    <w:name w:val="Char Char Char Char Char Char Char Char Char Char14"/>
    <w:basedOn w:val="Normal"/>
    <w:rsid w:val="007104F0"/>
    <w:pPr>
      <w:spacing w:after="160" w:line="240" w:lineRule="exact"/>
      <w:jc w:val="left"/>
    </w:pPr>
    <w:rPr>
      <w:rFonts w:ascii="Tahoma" w:hAnsi="Tahoma"/>
      <w:sz w:val="20"/>
      <w:lang w:val="en-US"/>
    </w:rPr>
  </w:style>
  <w:style w:type="paragraph" w:customStyle="1" w:styleId="CharCharCharCharCharCharCharCharCharChar5">
    <w:name w:val="Char Char Char Char Char Char Char Char Char Char5"/>
    <w:basedOn w:val="Normal"/>
    <w:rsid w:val="007104F0"/>
    <w:pPr>
      <w:spacing w:after="160" w:line="240" w:lineRule="exact"/>
      <w:jc w:val="left"/>
    </w:pPr>
    <w:rPr>
      <w:rFonts w:ascii="Tahoma" w:hAnsi="Tahoma"/>
      <w:sz w:val="20"/>
      <w:lang w:val="en-US"/>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7104F0"/>
    <w:pPr>
      <w:tabs>
        <w:tab w:val="left" w:pos="709"/>
      </w:tabs>
      <w:jc w:val="left"/>
    </w:pPr>
    <w:rPr>
      <w:rFonts w:ascii="Arial Narrow" w:hAnsi="Arial Narrow"/>
      <w:b/>
      <w:sz w:val="26"/>
      <w:szCs w:val="24"/>
      <w:lang w:val="pl-PL" w:eastAsia="pl-PL"/>
    </w:rPr>
  </w:style>
  <w:style w:type="paragraph" w:customStyle="1" w:styleId="CharTegnTegnChar">
    <w:name w:val="Char Tegn Tegn Char"/>
    <w:basedOn w:val="Normal"/>
    <w:rsid w:val="007104F0"/>
    <w:pPr>
      <w:tabs>
        <w:tab w:val="left" w:pos="567"/>
      </w:tabs>
      <w:spacing w:before="120" w:after="160" w:line="240" w:lineRule="exact"/>
      <w:ind w:left="1584" w:hanging="504"/>
      <w:jc w:val="left"/>
    </w:pPr>
    <w:rPr>
      <w:rFonts w:ascii="Arial" w:hAnsi="Arial"/>
      <w:b/>
      <w:bCs/>
      <w:color w:val="000000"/>
      <w:sz w:val="20"/>
      <w:lang w:val="en-US"/>
    </w:rPr>
  </w:style>
  <w:style w:type="paragraph" w:customStyle="1" w:styleId="CharCharCharCharCharCharCharCharCharCharCharCharCharCharChar">
    <w:name w:val="Char Char Char Char Char Char Char Char Char Char Char Char Char Char Char"/>
    <w:basedOn w:val="Normal"/>
    <w:rsid w:val="007104F0"/>
    <w:pPr>
      <w:spacing w:after="160" w:line="240" w:lineRule="exact"/>
      <w:jc w:val="left"/>
    </w:pPr>
    <w:rPr>
      <w:rFonts w:ascii="Tahoma" w:hAnsi="Tahoma" w:cs="Tahoma"/>
      <w:sz w:val="20"/>
      <w:lang w:val="en-US"/>
    </w:rPr>
  </w:style>
  <w:style w:type="character" w:styleId="Emphasis">
    <w:name w:val="Emphasis"/>
    <w:qFormat/>
    <w:rsid w:val="007104F0"/>
    <w:rPr>
      <w:i/>
      <w:iCs/>
    </w:rPr>
  </w:style>
  <w:style w:type="paragraph" w:styleId="PlainText">
    <w:name w:val="Plain Text"/>
    <w:basedOn w:val="Normal"/>
    <w:link w:val="PlainTextChar"/>
    <w:uiPriority w:val="99"/>
    <w:rsid w:val="007104F0"/>
    <w:pPr>
      <w:spacing w:after="240"/>
    </w:pPr>
    <w:rPr>
      <w:rFonts w:ascii="Courier New" w:hAnsi="Courier New"/>
      <w:sz w:val="20"/>
      <w:lang w:eastAsia="x-none"/>
    </w:rPr>
  </w:style>
  <w:style w:type="character" w:customStyle="1" w:styleId="PlainTextChar">
    <w:name w:val="Plain Text Char"/>
    <w:basedOn w:val="DefaultParagraphFont"/>
    <w:link w:val="PlainText"/>
    <w:uiPriority w:val="99"/>
    <w:rsid w:val="007104F0"/>
    <w:rPr>
      <w:rFonts w:ascii="Courier New" w:eastAsia="Times New Roman" w:hAnsi="Courier New" w:cs="Times New Roman"/>
      <w:sz w:val="20"/>
      <w:szCs w:val="20"/>
      <w:lang w:val="sr-Cyrl-CS" w:eastAsia="x-none"/>
    </w:rPr>
  </w:style>
  <w:style w:type="paragraph" w:customStyle="1" w:styleId="font5">
    <w:name w:val="font5"/>
    <w:basedOn w:val="Normal"/>
    <w:rsid w:val="007104F0"/>
    <w:pPr>
      <w:spacing w:before="100" w:beforeAutospacing="1" w:after="100" w:afterAutospacing="1"/>
      <w:jc w:val="left"/>
    </w:pPr>
    <w:rPr>
      <w:rFonts w:ascii="Tahoma" w:hAnsi="Tahoma" w:cs="Tahoma"/>
      <w:color w:val="000000"/>
      <w:sz w:val="18"/>
      <w:szCs w:val="18"/>
      <w:lang w:val="en-US"/>
    </w:rPr>
  </w:style>
  <w:style w:type="paragraph" w:customStyle="1" w:styleId="font6">
    <w:name w:val="font6"/>
    <w:basedOn w:val="Normal"/>
    <w:rsid w:val="007104F0"/>
    <w:pPr>
      <w:spacing w:before="100" w:beforeAutospacing="1" w:after="100" w:afterAutospacing="1"/>
      <w:jc w:val="left"/>
    </w:pPr>
    <w:rPr>
      <w:rFonts w:ascii="Tahoma" w:hAnsi="Tahoma" w:cs="Tahoma"/>
      <w:b/>
      <w:bCs/>
      <w:color w:val="000000"/>
      <w:sz w:val="18"/>
      <w:szCs w:val="18"/>
      <w:lang w:val="en-US"/>
    </w:rPr>
  </w:style>
  <w:style w:type="paragraph" w:customStyle="1" w:styleId="font7">
    <w:name w:val="font7"/>
    <w:basedOn w:val="Normal"/>
    <w:rsid w:val="007104F0"/>
    <w:pPr>
      <w:spacing w:before="100" w:beforeAutospacing="1" w:after="100" w:afterAutospacing="1"/>
      <w:jc w:val="left"/>
    </w:pPr>
    <w:rPr>
      <w:rFonts w:ascii="Tahoma" w:hAnsi="Tahoma" w:cs="Tahoma"/>
      <w:b/>
      <w:bCs/>
      <w:color w:val="000000"/>
      <w:sz w:val="16"/>
      <w:szCs w:val="16"/>
      <w:lang w:val="en-US"/>
    </w:rPr>
  </w:style>
  <w:style w:type="paragraph" w:customStyle="1" w:styleId="font8">
    <w:name w:val="font8"/>
    <w:basedOn w:val="Normal"/>
    <w:rsid w:val="007104F0"/>
    <w:pPr>
      <w:spacing w:before="100" w:beforeAutospacing="1" w:after="100" w:afterAutospacing="1"/>
      <w:jc w:val="left"/>
    </w:pPr>
    <w:rPr>
      <w:rFonts w:ascii="Tahoma" w:hAnsi="Tahoma" w:cs="Tahoma"/>
      <w:color w:val="000000"/>
      <w:sz w:val="16"/>
      <w:szCs w:val="16"/>
      <w:lang w:val="en-US"/>
    </w:rPr>
  </w:style>
  <w:style w:type="paragraph" w:customStyle="1" w:styleId="xl63">
    <w:name w:val="xl6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64">
    <w:name w:val="xl6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65">
    <w:name w:val="xl65"/>
    <w:basedOn w:val="Normal"/>
    <w:rsid w:val="007104F0"/>
    <w:pPr>
      <w:spacing w:before="100" w:beforeAutospacing="1" w:after="100" w:afterAutospacing="1"/>
      <w:jc w:val="center"/>
      <w:textAlignment w:val="center"/>
    </w:pPr>
    <w:rPr>
      <w:rFonts w:ascii="Times New Roman" w:hAnsi="Times New Roman"/>
      <w:sz w:val="14"/>
      <w:szCs w:val="14"/>
      <w:lang w:val="en-US"/>
    </w:rPr>
  </w:style>
  <w:style w:type="paragraph" w:customStyle="1" w:styleId="xl66">
    <w:name w:val="xl66"/>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4"/>
      <w:szCs w:val="14"/>
      <w:lang w:val="en-US"/>
    </w:rPr>
  </w:style>
  <w:style w:type="paragraph" w:customStyle="1" w:styleId="xl67">
    <w:name w:val="xl67"/>
    <w:basedOn w:val="Normal"/>
    <w:rsid w:val="007104F0"/>
    <w:pPr>
      <w:spacing w:before="100" w:beforeAutospacing="1" w:after="100" w:afterAutospacing="1"/>
      <w:jc w:val="center"/>
      <w:textAlignment w:val="center"/>
    </w:pPr>
    <w:rPr>
      <w:rFonts w:ascii="Times New Roman" w:hAnsi="Times New Roman"/>
      <w:i/>
      <w:iCs/>
      <w:sz w:val="14"/>
      <w:szCs w:val="14"/>
      <w:lang w:val="en-US"/>
    </w:rPr>
  </w:style>
  <w:style w:type="paragraph" w:customStyle="1" w:styleId="xl68">
    <w:name w:val="xl68"/>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69">
    <w:name w:val="xl69"/>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4"/>
      <w:szCs w:val="14"/>
      <w:lang w:val="en-US"/>
    </w:rPr>
  </w:style>
  <w:style w:type="paragraph" w:customStyle="1" w:styleId="xl70">
    <w:name w:val="xl70"/>
    <w:basedOn w:val="Normal"/>
    <w:rsid w:val="007104F0"/>
    <w:pPr>
      <w:spacing w:before="100" w:beforeAutospacing="1" w:after="100" w:afterAutospacing="1"/>
      <w:jc w:val="left"/>
    </w:pPr>
    <w:rPr>
      <w:rFonts w:ascii="Times New Roman" w:hAnsi="Times New Roman"/>
      <w:sz w:val="14"/>
      <w:szCs w:val="14"/>
      <w:lang w:val="en-US"/>
    </w:rPr>
  </w:style>
  <w:style w:type="paragraph" w:customStyle="1" w:styleId="xl71">
    <w:name w:val="xl71"/>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14"/>
      <w:szCs w:val="14"/>
      <w:lang w:val="en-US"/>
    </w:rPr>
  </w:style>
  <w:style w:type="paragraph" w:customStyle="1" w:styleId="xl72">
    <w:name w:val="xl7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73">
    <w:name w:val="xl7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74">
    <w:name w:val="xl7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14"/>
      <w:szCs w:val="14"/>
      <w:lang w:val="en-US"/>
    </w:rPr>
  </w:style>
  <w:style w:type="paragraph" w:customStyle="1" w:styleId="xl75">
    <w:name w:val="xl75"/>
    <w:basedOn w:val="Normal"/>
    <w:rsid w:val="007104F0"/>
    <w:pPr>
      <w:spacing w:before="100" w:beforeAutospacing="1" w:after="100" w:afterAutospacing="1"/>
      <w:jc w:val="center"/>
    </w:pPr>
    <w:rPr>
      <w:rFonts w:ascii="Times New Roman" w:hAnsi="Times New Roman"/>
      <w:sz w:val="14"/>
      <w:szCs w:val="14"/>
      <w:lang w:val="en-US"/>
    </w:rPr>
  </w:style>
  <w:style w:type="paragraph" w:customStyle="1" w:styleId="xl76">
    <w:name w:val="xl76"/>
    <w:basedOn w:val="Normal"/>
    <w:rsid w:val="007104F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hAnsi="Times New Roman"/>
      <w:sz w:val="14"/>
      <w:szCs w:val="14"/>
      <w:lang w:val="en-US"/>
    </w:rPr>
  </w:style>
  <w:style w:type="paragraph" w:customStyle="1" w:styleId="xl77">
    <w:name w:val="xl77"/>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78">
    <w:name w:val="xl78"/>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14"/>
      <w:szCs w:val="14"/>
      <w:lang w:val="en-US"/>
    </w:rPr>
  </w:style>
  <w:style w:type="paragraph" w:customStyle="1" w:styleId="xl79">
    <w:name w:val="xl79"/>
    <w:basedOn w:val="Normal"/>
    <w:rsid w:val="007104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14"/>
      <w:szCs w:val="14"/>
      <w:lang w:val="en-US"/>
    </w:rPr>
  </w:style>
  <w:style w:type="paragraph" w:customStyle="1" w:styleId="xl80">
    <w:name w:val="xl80"/>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14"/>
      <w:szCs w:val="14"/>
      <w:lang w:val="en-US"/>
    </w:rPr>
  </w:style>
  <w:style w:type="paragraph" w:customStyle="1" w:styleId="xl81">
    <w:name w:val="xl81"/>
    <w:basedOn w:val="Normal"/>
    <w:rsid w:val="007104F0"/>
    <w:pPr>
      <w:spacing w:before="100" w:beforeAutospacing="1" w:after="100" w:afterAutospacing="1"/>
      <w:jc w:val="left"/>
    </w:pPr>
    <w:rPr>
      <w:rFonts w:ascii="Times New Roman" w:hAnsi="Times New Roman"/>
      <w:i/>
      <w:iCs/>
      <w:sz w:val="14"/>
      <w:szCs w:val="14"/>
      <w:lang w:val="en-US"/>
    </w:rPr>
  </w:style>
  <w:style w:type="paragraph" w:customStyle="1" w:styleId="xl82">
    <w:name w:val="xl8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val="en-US"/>
    </w:rPr>
  </w:style>
  <w:style w:type="paragraph" w:customStyle="1" w:styleId="xl83">
    <w:name w:val="xl8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84">
    <w:name w:val="xl84"/>
    <w:basedOn w:val="Normal"/>
    <w:rsid w:val="007104F0"/>
    <w:pPr>
      <w:shd w:val="clear" w:color="000000" w:fill="FFFFFF"/>
      <w:spacing w:before="100" w:beforeAutospacing="1" w:after="100" w:afterAutospacing="1"/>
      <w:jc w:val="left"/>
    </w:pPr>
    <w:rPr>
      <w:rFonts w:ascii="Times New Roman" w:hAnsi="Times New Roman"/>
      <w:sz w:val="14"/>
      <w:szCs w:val="14"/>
      <w:lang w:val="en-US"/>
    </w:rPr>
  </w:style>
  <w:style w:type="paragraph" w:customStyle="1" w:styleId="xl85">
    <w:name w:val="xl85"/>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4"/>
      <w:szCs w:val="14"/>
      <w:lang w:val="en-US"/>
    </w:rPr>
  </w:style>
  <w:style w:type="paragraph" w:customStyle="1" w:styleId="xl86">
    <w:name w:val="xl86"/>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14"/>
      <w:szCs w:val="14"/>
      <w:lang w:val="en-US"/>
    </w:rPr>
  </w:style>
  <w:style w:type="paragraph" w:customStyle="1" w:styleId="xl87">
    <w:name w:val="xl87"/>
    <w:basedOn w:val="Normal"/>
    <w:rsid w:val="007104F0"/>
    <w:pP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88">
    <w:name w:val="xl88"/>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sz w:val="14"/>
      <w:szCs w:val="14"/>
      <w:lang w:val="en-US"/>
    </w:rPr>
  </w:style>
  <w:style w:type="paragraph" w:customStyle="1" w:styleId="xl89">
    <w:name w:val="xl89"/>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i/>
      <w:iCs/>
      <w:sz w:val="14"/>
      <w:szCs w:val="14"/>
      <w:lang w:val="en-US"/>
    </w:rPr>
  </w:style>
  <w:style w:type="paragraph" w:customStyle="1" w:styleId="xl90">
    <w:name w:val="xl90"/>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91">
    <w:name w:val="xl91"/>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92">
    <w:name w:val="xl92"/>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color w:val="FF0000"/>
      <w:sz w:val="14"/>
      <w:szCs w:val="14"/>
      <w:lang w:val="en-US"/>
    </w:rPr>
  </w:style>
  <w:style w:type="paragraph" w:customStyle="1" w:styleId="xl93">
    <w:name w:val="xl93"/>
    <w:basedOn w:val="Normal"/>
    <w:rsid w:val="007104F0"/>
    <w:pPr>
      <w:shd w:val="clear" w:color="000000" w:fill="EEECE1"/>
      <w:spacing w:before="100" w:beforeAutospacing="1" w:after="100" w:afterAutospacing="1"/>
      <w:jc w:val="center"/>
      <w:textAlignment w:val="center"/>
    </w:pPr>
    <w:rPr>
      <w:rFonts w:ascii="Times New Roman" w:hAnsi="Times New Roman"/>
      <w:sz w:val="14"/>
      <w:szCs w:val="14"/>
      <w:lang w:val="en-US"/>
    </w:rPr>
  </w:style>
  <w:style w:type="paragraph" w:customStyle="1" w:styleId="xl94">
    <w:name w:val="xl94"/>
    <w:basedOn w:val="Normal"/>
    <w:rsid w:val="007104F0"/>
    <w:pPr>
      <w:shd w:val="clear" w:color="000000" w:fill="EEECE1"/>
      <w:spacing w:before="100" w:beforeAutospacing="1" w:after="100" w:afterAutospacing="1"/>
      <w:jc w:val="center"/>
      <w:textAlignment w:val="center"/>
    </w:pPr>
    <w:rPr>
      <w:rFonts w:ascii="Times New Roman" w:hAnsi="Times New Roman"/>
      <w:i/>
      <w:iCs/>
      <w:sz w:val="14"/>
      <w:szCs w:val="14"/>
      <w:lang w:val="en-US"/>
    </w:rPr>
  </w:style>
  <w:style w:type="paragraph" w:customStyle="1" w:styleId="xl95">
    <w:name w:val="xl95"/>
    <w:basedOn w:val="Normal"/>
    <w:rsid w:val="007104F0"/>
    <w:pPr>
      <w:shd w:val="clear" w:color="000000" w:fill="EEECE1"/>
      <w:spacing w:before="100" w:beforeAutospacing="1" w:after="100" w:afterAutospacing="1"/>
      <w:jc w:val="left"/>
    </w:pPr>
    <w:rPr>
      <w:rFonts w:ascii="Times New Roman" w:hAnsi="Times New Roman"/>
      <w:color w:val="FF0000"/>
      <w:sz w:val="14"/>
      <w:szCs w:val="14"/>
      <w:lang w:val="en-US"/>
    </w:rPr>
  </w:style>
  <w:style w:type="paragraph" w:customStyle="1" w:styleId="xl96">
    <w:name w:val="xl96"/>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hAnsi="Times New Roman"/>
      <w:i/>
      <w:iCs/>
      <w:sz w:val="14"/>
      <w:szCs w:val="14"/>
      <w:lang w:val="en-US"/>
    </w:rPr>
  </w:style>
  <w:style w:type="paragraph" w:customStyle="1" w:styleId="xl97">
    <w:name w:val="xl97"/>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Times New Roman" w:hAnsi="Times New Roman"/>
      <w:b/>
      <w:bCs/>
      <w:i/>
      <w:iCs/>
      <w:sz w:val="14"/>
      <w:szCs w:val="14"/>
      <w:lang w:val="en-US"/>
    </w:rPr>
  </w:style>
  <w:style w:type="paragraph" w:customStyle="1" w:styleId="xl98">
    <w:name w:val="xl98"/>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Times New Roman" w:hAnsi="Times New Roman"/>
      <w:b/>
      <w:bCs/>
      <w:i/>
      <w:iCs/>
      <w:sz w:val="14"/>
      <w:szCs w:val="14"/>
      <w:lang w:val="en-US"/>
    </w:rPr>
  </w:style>
  <w:style w:type="paragraph" w:customStyle="1" w:styleId="xl99">
    <w:name w:val="xl99"/>
    <w:basedOn w:val="Normal"/>
    <w:rsid w:val="007104F0"/>
    <w:pPr>
      <w:shd w:val="clear" w:color="000000" w:fill="D8D8D8"/>
      <w:spacing w:before="100" w:beforeAutospacing="1" w:after="100" w:afterAutospacing="1"/>
      <w:jc w:val="left"/>
    </w:pPr>
    <w:rPr>
      <w:rFonts w:ascii="Times New Roman" w:hAnsi="Times New Roman"/>
      <w:i/>
      <w:iCs/>
      <w:sz w:val="14"/>
      <w:szCs w:val="14"/>
      <w:lang w:val="en-US"/>
    </w:rPr>
  </w:style>
  <w:style w:type="paragraph" w:customStyle="1" w:styleId="xl100">
    <w:name w:val="xl100"/>
    <w:basedOn w:val="Normal"/>
    <w:rsid w:val="007104F0"/>
    <w:pPr>
      <w:pBdr>
        <w:top w:val="single" w:sz="4" w:space="0" w:color="auto"/>
        <w:left w:val="single" w:sz="4" w:space="0" w:color="auto"/>
        <w:bottom w:val="single" w:sz="4" w:space="0" w:color="auto"/>
      </w:pBdr>
      <w:shd w:val="clear" w:color="000000" w:fill="D8D8D8"/>
      <w:spacing w:before="100" w:beforeAutospacing="1" w:after="100" w:afterAutospacing="1"/>
      <w:jc w:val="left"/>
    </w:pPr>
    <w:rPr>
      <w:rFonts w:ascii="Times New Roman" w:hAnsi="Times New Roman"/>
      <w:b/>
      <w:bCs/>
      <w:i/>
      <w:iCs/>
      <w:sz w:val="14"/>
      <w:szCs w:val="14"/>
      <w:lang w:val="en-US"/>
    </w:rPr>
  </w:style>
  <w:style w:type="paragraph" w:customStyle="1" w:styleId="xl101">
    <w:name w:val="xl101"/>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14"/>
      <w:szCs w:val="14"/>
      <w:lang w:val="en-US"/>
    </w:rPr>
  </w:style>
  <w:style w:type="paragraph" w:customStyle="1" w:styleId="xl102">
    <w:name w:val="xl102"/>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14"/>
      <w:szCs w:val="14"/>
      <w:lang w:val="en-US"/>
    </w:rPr>
  </w:style>
  <w:style w:type="paragraph" w:customStyle="1" w:styleId="xl103">
    <w:name w:val="xl103"/>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14"/>
      <w:szCs w:val="14"/>
      <w:lang w:val="en-US"/>
    </w:rPr>
  </w:style>
  <w:style w:type="paragraph" w:customStyle="1" w:styleId="xl104">
    <w:name w:val="xl104"/>
    <w:basedOn w:val="Normal"/>
    <w:rsid w:val="007104F0"/>
    <w:pPr>
      <w:shd w:val="clear" w:color="000000" w:fill="BFBFBF"/>
      <w:spacing w:before="100" w:beforeAutospacing="1" w:after="100" w:afterAutospacing="1"/>
      <w:jc w:val="left"/>
    </w:pPr>
    <w:rPr>
      <w:rFonts w:ascii="Times New Roman" w:hAnsi="Times New Roman"/>
      <w:sz w:val="14"/>
      <w:szCs w:val="14"/>
      <w:lang w:val="en-US"/>
    </w:rPr>
  </w:style>
  <w:style w:type="paragraph" w:customStyle="1" w:styleId="xl105">
    <w:name w:val="xl105"/>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Times New Roman" w:hAnsi="Times New Roman"/>
      <w:b/>
      <w:bCs/>
      <w:i/>
      <w:iCs/>
      <w:sz w:val="14"/>
      <w:szCs w:val="14"/>
      <w:lang w:val="en-US"/>
    </w:rPr>
  </w:style>
  <w:style w:type="paragraph" w:customStyle="1" w:styleId="xl106">
    <w:name w:val="xl106"/>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Times New Roman" w:hAnsi="Times New Roman"/>
      <w:sz w:val="14"/>
      <w:szCs w:val="14"/>
      <w:lang w:val="en-US"/>
    </w:rPr>
  </w:style>
  <w:style w:type="paragraph" w:customStyle="1" w:styleId="xl107">
    <w:name w:val="xl107"/>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14"/>
      <w:szCs w:val="14"/>
      <w:lang w:val="en-US"/>
    </w:rPr>
  </w:style>
  <w:style w:type="paragraph" w:customStyle="1" w:styleId="xl108">
    <w:name w:val="xl108"/>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14"/>
      <w:szCs w:val="14"/>
      <w:lang w:val="en-US"/>
    </w:rPr>
  </w:style>
  <w:style w:type="paragraph" w:customStyle="1" w:styleId="xl109">
    <w:name w:val="xl109"/>
    <w:basedOn w:val="Normal"/>
    <w:rsid w:val="007104F0"/>
    <w:pPr>
      <w:pBdr>
        <w:top w:val="single" w:sz="4" w:space="0" w:color="auto"/>
        <w:left w:val="single" w:sz="4" w:space="0" w:color="auto"/>
        <w:bottom w:val="single" w:sz="4" w:space="0" w:color="auto"/>
      </w:pBdr>
      <w:shd w:val="clear" w:color="000000" w:fill="CCC0DA"/>
      <w:spacing w:before="100" w:beforeAutospacing="1" w:after="100" w:afterAutospacing="1"/>
      <w:jc w:val="center"/>
    </w:pPr>
    <w:rPr>
      <w:rFonts w:ascii="Times New Roman" w:hAnsi="Times New Roman"/>
      <w:sz w:val="14"/>
      <w:szCs w:val="14"/>
      <w:lang w:val="en-US"/>
    </w:rPr>
  </w:style>
  <w:style w:type="paragraph" w:customStyle="1" w:styleId="xl110">
    <w:name w:val="xl110"/>
    <w:basedOn w:val="Normal"/>
    <w:rsid w:val="007104F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pPr>
    <w:rPr>
      <w:rFonts w:ascii="Times New Roman" w:hAnsi="Times New Roman"/>
      <w:b/>
      <w:bCs/>
      <w:sz w:val="18"/>
      <w:szCs w:val="18"/>
      <w:lang w:val="en-US"/>
    </w:rPr>
  </w:style>
  <w:style w:type="paragraph" w:customStyle="1" w:styleId="xl111">
    <w:name w:val="xl111"/>
    <w:basedOn w:val="Normal"/>
    <w:rsid w:val="007104F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pPr>
    <w:rPr>
      <w:rFonts w:ascii="Times New Roman" w:hAnsi="Times New Roman"/>
      <w:sz w:val="14"/>
      <w:szCs w:val="14"/>
      <w:lang w:val="en-US"/>
    </w:rPr>
  </w:style>
  <w:style w:type="paragraph" w:customStyle="1" w:styleId="xl112">
    <w:name w:val="xl11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val="en-US"/>
    </w:rPr>
  </w:style>
  <w:style w:type="paragraph" w:customStyle="1" w:styleId="Tekst">
    <w:name w:val="Tekst"/>
    <w:basedOn w:val="Normal"/>
    <w:link w:val="TekstChar"/>
    <w:rsid w:val="007104F0"/>
    <w:pPr>
      <w:spacing w:after="120"/>
    </w:pPr>
    <w:rPr>
      <w:rFonts w:ascii="Tahoma" w:hAnsi="Tahoma"/>
      <w:sz w:val="22"/>
      <w:szCs w:val="22"/>
      <w:lang w:val="sr-Latn-CS" w:eastAsia="x-none"/>
    </w:rPr>
  </w:style>
  <w:style w:type="character" w:customStyle="1" w:styleId="TekstChar">
    <w:name w:val="Tekst Char"/>
    <w:link w:val="Tekst"/>
    <w:rsid w:val="007104F0"/>
    <w:rPr>
      <w:rFonts w:ascii="Tahoma" w:eastAsia="Times New Roman" w:hAnsi="Tahoma" w:cs="Times New Roman"/>
      <w:lang w:val="sr-Latn-CS" w:eastAsia="x-none"/>
    </w:rPr>
  </w:style>
  <w:style w:type="paragraph" w:customStyle="1" w:styleId="1">
    <w:name w:val="Текст 1"/>
    <w:basedOn w:val="Normal"/>
    <w:rsid w:val="007104F0"/>
    <w:pPr>
      <w:tabs>
        <w:tab w:val="left" w:pos="1418"/>
      </w:tabs>
      <w:spacing w:after="120"/>
    </w:pPr>
    <w:rPr>
      <w:rFonts w:ascii="Tahoma" w:hAnsi="Tahoma" w:cs="Tahoma"/>
      <w:sz w:val="22"/>
      <w:szCs w:val="22"/>
      <w:lang w:val="ru-RU"/>
    </w:rPr>
  </w:style>
  <w:style w:type="paragraph" w:customStyle="1" w:styleId="CharCharCharChar8">
    <w:name w:val="Char Char Char Char8"/>
    <w:basedOn w:val="Normal"/>
    <w:rsid w:val="007104F0"/>
    <w:pPr>
      <w:spacing w:after="160" w:line="240" w:lineRule="exact"/>
      <w:jc w:val="left"/>
    </w:pPr>
    <w:rPr>
      <w:rFonts w:ascii="Verdana" w:hAnsi="Verdana"/>
      <w:sz w:val="20"/>
      <w:szCs w:val="24"/>
      <w:lang w:val="en-US"/>
    </w:rPr>
  </w:style>
  <w:style w:type="paragraph" w:customStyle="1" w:styleId="Normal2">
    <w:name w:val="Normal2"/>
    <w:basedOn w:val="Normal"/>
    <w:rsid w:val="007104F0"/>
    <w:pPr>
      <w:spacing w:before="100" w:beforeAutospacing="1" w:after="100" w:afterAutospacing="1"/>
      <w:jc w:val="left"/>
    </w:pPr>
    <w:rPr>
      <w:rFonts w:ascii="Arial" w:hAnsi="Arial" w:cs="Arial"/>
      <w:sz w:val="22"/>
      <w:szCs w:val="22"/>
      <w:lang w:val="sr-Latn-CS" w:eastAsia="sr-Latn-CS"/>
    </w:rPr>
  </w:style>
  <w:style w:type="paragraph" w:customStyle="1" w:styleId="Char1">
    <w:name w:val="Char1"/>
    <w:basedOn w:val="Normal"/>
    <w:rsid w:val="007104F0"/>
    <w:pPr>
      <w:spacing w:after="160" w:line="240" w:lineRule="exact"/>
      <w:jc w:val="left"/>
    </w:pPr>
    <w:rPr>
      <w:rFonts w:ascii="Verdana" w:hAnsi="Verdana"/>
      <w:sz w:val="20"/>
      <w:szCs w:val="24"/>
      <w:lang w:val="en-US"/>
    </w:rPr>
  </w:style>
  <w:style w:type="paragraph" w:customStyle="1" w:styleId="CharChar4">
    <w:name w:val="Char Char4"/>
    <w:basedOn w:val="Normal"/>
    <w:link w:val="CharCharChar12"/>
    <w:rsid w:val="007104F0"/>
    <w:pPr>
      <w:spacing w:after="160" w:line="240" w:lineRule="exact"/>
      <w:jc w:val="left"/>
    </w:pPr>
    <w:rPr>
      <w:rFonts w:ascii="Verdana" w:hAnsi="Verdana"/>
      <w:sz w:val="20"/>
      <w:lang w:val="x-none" w:eastAsia="x-none"/>
    </w:rPr>
  </w:style>
  <w:style w:type="character" w:customStyle="1" w:styleId="CharCharChar12">
    <w:name w:val="Char Char Char12"/>
    <w:link w:val="CharChar4"/>
    <w:rsid w:val="007104F0"/>
    <w:rPr>
      <w:rFonts w:ascii="Verdana" w:eastAsia="Times New Roman" w:hAnsi="Verdana" w:cs="Times New Roman"/>
      <w:sz w:val="20"/>
      <w:szCs w:val="20"/>
      <w:lang w:val="x-none" w:eastAsia="x-none"/>
    </w:rPr>
  </w:style>
  <w:style w:type="paragraph" w:customStyle="1" w:styleId="CharCharCharCharCharCharCharCharCharCharCharCharCharCharCharCharCharCharChar1">
    <w:name w:val="Char Char Char Char Char Char Char Char Char Char Char Char Char Char Char Char Char Char Char1"/>
    <w:basedOn w:val="Normal"/>
    <w:rsid w:val="007104F0"/>
    <w:pPr>
      <w:spacing w:after="160" w:line="240" w:lineRule="exact"/>
      <w:jc w:val="left"/>
    </w:pPr>
    <w:rPr>
      <w:rFonts w:ascii="Verdana" w:hAnsi="Verdana"/>
      <w:sz w:val="20"/>
      <w:szCs w:val="24"/>
      <w:lang w:val="en-US"/>
    </w:rPr>
  </w:style>
  <w:style w:type="paragraph" w:customStyle="1" w:styleId="CharChar2CharCharCharChar1">
    <w:name w:val="Char Char2 Char Char Char Char1"/>
    <w:basedOn w:val="Normal"/>
    <w:rsid w:val="007104F0"/>
    <w:pPr>
      <w:tabs>
        <w:tab w:val="left" w:pos="709"/>
      </w:tabs>
      <w:jc w:val="left"/>
    </w:pPr>
    <w:rPr>
      <w:rFonts w:ascii="Arial Narrow" w:hAnsi="Arial Narrow"/>
      <w:b/>
      <w:sz w:val="26"/>
      <w:szCs w:val="24"/>
      <w:lang w:val="pl-PL" w:eastAsia="pl-PL"/>
    </w:rPr>
  </w:style>
  <w:style w:type="paragraph" w:customStyle="1" w:styleId="CharCharCharCharChar2">
    <w:name w:val="Char Char Char Char Char2"/>
    <w:basedOn w:val="Normal"/>
    <w:link w:val="CharCharCharCharCharChar11"/>
    <w:rsid w:val="007104F0"/>
    <w:pPr>
      <w:spacing w:after="160" w:line="240" w:lineRule="exact"/>
      <w:jc w:val="left"/>
    </w:pPr>
    <w:rPr>
      <w:rFonts w:ascii="Verdana" w:hAnsi="Verdana"/>
      <w:sz w:val="20"/>
      <w:lang w:val="x-none" w:eastAsia="x-none"/>
    </w:rPr>
  </w:style>
  <w:style w:type="character" w:customStyle="1" w:styleId="CharCharCharCharCharChar11">
    <w:name w:val="Char Char Char Char Char Char11"/>
    <w:link w:val="CharCharCharCharChar2"/>
    <w:rsid w:val="007104F0"/>
    <w:rPr>
      <w:rFonts w:ascii="Verdana" w:eastAsia="Times New Roman" w:hAnsi="Verdana" w:cs="Times New Roman"/>
      <w:sz w:val="20"/>
      <w:szCs w:val="20"/>
      <w:lang w:val="x-none" w:eastAsia="x-none"/>
    </w:rPr>
  </w:style>
  <w:style w:type="paragraph" w:customStyle="1" w:styleId="CharCharCharCharCharCharCharCharCharCharCharCharChar1">
    <w:name w:val="Char Char Char Char Char Char Char Char Char Char Char Char Char1"/>
    <w:basedOn w:val="Normal"/>
    <w:rsid w:val="007104F0"/>
    <w:pPr>
      <w:spacing w:after="160" w:line="240" w:lineRule="exact"/>
      <w:jc w:val="left"/>
    </w:pPr>
    <w:rPr>
      <w:rFonts w:ascii="Verdana" w:hAnsi="Verdana"/>
      <w:sz w:val="20"/>
      <w:szCs w:val="24"/>
      <w:lang w:val="en-US"/>
    </w:rPr>
  </w:style>
  <w:style w:type="character" w:customStyle="1" w:styleId="CharCharChar5">
    <w:name w:val="Char Char Char5"/>
    <w:rsid w:val="007104F0"/>
    <w:rPr>
      <w:sz w:val="24"/>
      <w:lang w:val="sr-Cyrl-CS" w:eastAsia="en-US" w:bidi="ar-SA"/>
    </w:rPr>
  </w:style>
  <w:style w:type="character" w:customStyle="1" w:styleId="CharChar31">
    <w:name w:val="Char Char31"/>
    <w:rsid w:val="007104F0"/>
    <w:rPr>
      <w:sz w:val="24"/>
      <w:lang w:val="sr-Cyrl-CS" w:eastAsia="en-US" w:bidi="ar-SA"/>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Normal"/>
    <w:rsid w:val="007104F0"/>
    <w:pPr>
      <w:tabs>
        <w:tab w:val="left" w:pos="709"/>
      </w:tabs>
      <w:jc w:val="left"/>
    </w:pPr>
    <w:rPr>
      <w:rFonts w:ascii="Arial Narrow" w:hAnsi="Arial Narrow"/>
      <w:b/>
      <w:sz w:val="26"/>
      <w:szCs w:val="24"/>
      <w:lang w:val="pl-PL" w:eastAsia="pl-PL"/>
    </w:rPr>
  </w:style>
  <w:style w:type="character" w:customStyle="1" w:styleId="CharChar21">
    <w:name w:val="Char Char21"/>
    <w:rsid w:val="007104F0"/>
    <w:rPr>
      <w:rFonts w:ascii="Times New Roman" w:eastAsia="Times New Roman" w:hAnsi="Times New Roman" w:cs="Times New Roman"/>
      <w:sz w:val="24"/>
      <w:szCs w:val="20"/>
    </w:rPr>
  </w:style>
  <w:style w:type="paragraph" w:customStyle="1" w:styleId="CharCharCharCharCharCharCharCharCharChar4">
    <w:name w:val="Char Char Char Char Char Char Char Char Char Char4"/>
    <w:basedOn w:val="Normal"/>
    <w:link w:val="CharCharCharCharCharCharCharCharCharCharChar1"/>
    <w:rsid w:val="007104F0"/>
    <w:pPr>
      <w:spacing w:after="160" w:line="240" w:lineRule="exact"/>
      <w:jc w:val="left"/>
    </w:pPr>
    <w:rPr>
      <w:rFonts w:ascii="Tahoma" w:hAnsi="Tahoma"/>
      <w:sz w:val="20"/>
      <w:lang w:val="x-none" w:eastAsia="x-none"/>
    </w:rPr>
  </w:style>
  <w:style w:type="character" w:customStyle="1" w:styleId="CharCharCharCharCharCharCharCharCharCharChar1">
    <w:name w:val="Char Char Char Char Char Char Char Char Char Char Char1"/>
    <w:link w:val="CharCharCharCharCharCharCharCharCharChar4"/>
    <w:rsid w:val="007104F0"/>
    <w:rPr>
      <w:rFonts w:ascii="Tahoma" w:eastAsia="Times New Roman" w:hAnsi="Tahoma" w:cs="Times New Roman"/>
      <w:sz w:val="20"/>
      <w:szCs w:val="20"/>
      <w:lang w:val="x-none" w:eastAsia="x-none"/>
    </w:rPr>
  </w:style>
  <w:style w:type="paragraph" w:customStyle="1" w:styleId="CharCharCharCharCharCharCharChar2">
    <w:name w:val="Char Char Char Char Char Char Char Char2"/>
    <w:basedOn w:val="Normal"/>
    <w:rsid w:val="007104F0"/>
    <w:pPr>
      <w:spacing w:after="160" w:line="240" w:lineRule="exact"/>
      <w:jc w:val="left"/>
    </w:pPr>
    <w:rPr>
      <w:rFonts w:ascii="Verdana" w:hAnsi="Verdana"/>
      <w:sz w:val="20"/>
      <w:szCs w:val="24"/>
      <w:lang w:val="en-US"/>
    </w:rPr>
  </w:style>
  <w:style w:type="paragraph" w:customStyle="1" w:styleId="CharCharCharCharCharCharCharCharCharChar13">
    <w:name w:val="Char Char Char Char Char Char Char Char Char Char13"/>
    <w:basedOn w:val="Normal"/>
    <w:rsid w:val="007104F0"/>
    <w:pPr>
      <w:spacing w:after="160" w:line="240" w:lineRule="exact"/>
      <w:jc w:val="left"/>
    </w:pPr>
    <w:rPr>
      <w:rFonts w:ascii="Tahoma" w:hAnsi="Tahoma"/>
      <w:sz w:val="20"/>
      <w:szCs w:val="24"/>
      <w:lang w:val="en-US"/>
    </w:rPr>
  </w:style>
  <w:style w:type="paragraph" w:customStyle="1" w:styleId="CharCharCharCharCharCharChar2">
    <w:name w:val="Char Char Char Char Char Char Char2"/>
    <w:basedOn w:val="Normal"/>
    <w:rsid w:val="007104F0"/>
    <w:pPr>
      <w:spacing w:after="160" w:line="240" w:lineRule="exact"/>
      <w:jc w:val="left"/>
    </w:pPr>
    <w:rPr>
      <w:rFonts w:ascii="Tahoma" w:hAnsi="Tahoma"/>
      <w:sz w:val="20"/>
      <w:szCs w:val="24"/>
      <w:lang w:val="en-US"/>
    </w:rPr>
  </w:style>
  <w:style w:type="paragraph" w:customStyle="1" w:styleId="CharCharCharCharCharCharCharCharCharCharCharChar2">
    <w:name w:val="Char Char Char Char Char Char Char Char Char Char Char Char2"/>
    <w:basedOn w:val="Normal"/>
    <w:rsid w:val="007104F0"/>
    <w:pPr>
      <w:spacing w:after="160" w:line="240" w:lineRule="exact"/>
      <w:jc w:val="left"/>
    </w:pPr>
    <w:rPr>
      <w:rFonts w:ascii="Tahoma" w:hAnsi="Tahoma"/>
      <w:sz w:val="20"/>
      <w:szCs w:val="24"/>
      <w:lang w:val="en-US"/>
    </w:rPr>
  </w:style>
  <w:style w:type="paragraph" w:customStyle="1" w:styleId="CharCharCharCharCharCharCharCharCharCharCharCharCharCharChar1">
    <w:name w:val="Char Char Char Char Char Char Char Char Char Char Char Char Char Char Char1"/>
    <w:basedOn w:val="Normal"/>
    <w:rsid w:val="007104F0"/>
    <w:pPr>
      <w:spacing w:after="160" w:line="240" w:lineRule="exact"/>
      <w:jc w:val="left"/>
    </w:pPr>
    <w:rPr>
      <w:rFonts w:ascii="Tahoma" w:hAnsi="Tahoma" w:cs="Tahoma"/>
      <w:sz w:val="20"/>
      <w:szCs w:val="24"/>
      <w:lang w:val="en-US"/>
    </w:rPr>
  </w:style>
  <w:style w:type="numbering" w:customStyle="1" w:styleId="NoList1">
    <w:name w:val="No List1"/>
    <w:next w:val="NoList"/>
    <w:uiPriority w:val="99"/>
    <w:semiHidden/>
    <w:unhideWhenUsed/>
    <w:rsid w:val="007104F0"/>
  </w:style>
  <w:style w:type="numbering" w:customStyle="1" w:styleId="NoList2">
    <w:name w:val="No List2"/>
    <w:next w:val="NoList"/>
    <w:uiPriority w:val="99"/>
    <w:semiHidden/>
    <w:unhideWhenUsed/>
    <w:rsid w:val="007104F0"/>
  </w:style>
  <w:style w:type="paragraph" w:customStyle="1" w:styleId="SM">
    <w:name w:val="SM"/>
    <w:basedOn w:val="Normal"/>
    <w:rsid w:val="007104F0"/>
    <w:pPr>
      <w:tabs>
        <w:tab w:val="left" w:pos="1418"/>
      </w:tabs>
    </w:pPr>
    <w:rPr>
      <w:rFonts w:cs="CTimesRoman"/>
      <w:szCs w:val="24"/>
    </w:rPr>
  </w:style>
  <w:style w:type="paragraph" w:customStyle="1" w:styleId="CharCharCharCharChar1">
    <w:name w:val="Char Char Char Char Char1"/>
    <w:basedOn w:val="Normal"/>
    <w:rsid w:val="007104F0"/>
    <w:pPr>
      <w:spacing w:after="160" w:line="240" w:lineRule="exact"/>
      <w:jc w:val="left"/>
    </w:pPr>
    <w:rPr>
      <w:rFonts w:ascii="Verdana" w:hAnsi="Verdana" w:cs="Verdana"/>
      <w:sz w:val="20"/>
      <w:lang w:val="en-US"/>
    </w:rPr>
  </w:style>
  <w:style w:type="paragraph" w:customStyle="1" w:styleId="CharCharChar3">
    <w:name w:val="Char Char Char3"/>
    <w:basedOn w:val="Normal"/>
    <w:rsid w:val="007104F0"/>
    <w:pPr>
      <w:tabs>
        <w:tab w:val="left" w:pos="567"/>
      </w:tabs>
      <w:spacing w:before="120" w:after="160" w:line="240" w:lineRule="exact"/>
      <w:ind w:left="1584" w:hanging="504"/>
      <w:jc w:val="left"/>
    </w:pPr>
    <w:rPr>
      <w:rFonts w:ascii="Arial" w:hAnsi="Arial" w:cs="Arial"/>
      <w:b/>
      <w:bCs/>
      <w:color w:val="000000"/>
      <w:szCs w:val="24"/>
      <w:lang w:val="en-US"/>
    </w:rPr>
  </w:style>
  <w:style w:type="paragraph" w:customStyle="1" w:styleId="CharCharCharChar6">
    <w:name w:val="Char Char Char Char6"/>
    <w:basedOn w:val="Normal"/>
    <w:rsid w:val="007104F0"/>
    <w:pPr>
      <w:spacing w:after="160" w:line="240" w:lineRule="exact"/>
      <w:jc w:val="left"/>
    </w:pPr>
    <w:rPr>
      <w:rFonts w:ascii="Tahoma" w:hAnsi="Tahoma" w:cs="Tahoma"/>
      <w:sz w:val="20"/>
      <w:lang w:val="en-US"/>
    </w:rPr>
  </w:style>
  <w:style w:type="paragraph" w:customStyle="1" w:styleId="CharCharCharCharCharCharCharChar1">
    <w:name w:val="Char Char Char Char Char Char Char Char1"/>
    <w:basedOn w:val="Normal"/>
    <w:rsid w:val="007104F0"/>
    <w:pPr>
      <w:spacing w:after="160" w:line="240" w:lineRule="exact"/>
      <w:jc w:val="left"/>
    </w:pPr>
    <w:rPr>
      <w:rFonts w:ascii="Verdana" w:hAnsi="Verdana" w:cs="Verdana"/>
      <w:sz w:val="20"/>
      <w:lang w:val="en-US"/>
    </w:rPr>
  </w:style>
  <w:style w:type="paragraph" w:customStyle="1" w:styleId="CharCharCharCharCharCharCharCharCharChar11">
    <w:name w:val="Char Char Char Char Char Char Char Char Char Char11"/>
    <w:basedOn w:val="Normal"/>
    <w:rsid w:val="007104F0"/>
    <w:pPr>
      <w:spacing w:after="160" w:line="240" w:lineRule="exact"/>
      <w:jc w:val="left"/>
    </w:pPr>
    <w:rPr>
      <w:rFonts w:ascii="Tahoma" w:hAnsi="Tahoma" w:cs="Tahoma"/>
      <w:sz w:val="20"/>
      <w:lang w:val="en-US"/>
    </w:rPr>
  </w:style>
  <w:style w:type="paragraph" w:customStyle="1" w:styleId="CharCharCharCharCharCharCharCharCharChar2">
    <w:name w:val="Char Char Char Char Char Char Char Char Char Char2"/>
    <w:basedOn w:val="Normal"/>
    <w:rsid w:val="007104F0"/>
    <w:pPr>
      <w:spacing w:after="160" w:line="240" w:lineRule="exact"/>
      <w:jc w:val="left"/>
    </w:pPr>
    <w:rPr>
      <w:rFonts w:ascii="Tahoma" w:hAnsi="Tahoma" w:cs="Tahoma"/>
      <w:sz w:val="20"/>
      <w:lang w:val="en-US"/>
    </w:rPr>
  </w:style>
  <w:style w:type="character" w:customStyle="1" w:styleId="rvts3">
    <w:name w:val="rvts3"/>
    <w:rsid w:val="007104F0"/>
    <w:rPr>
      <w:color w:val="000000"/>
      <w:sz w:val="20"/>
      <w:szCs w:val="20"/>
    </w:rPr>
  </w:style>
  <w:style w:type="paragraph" w:customStyle="1" w:styleId="CharCharCharChar5">
    <w:name w:val="Char Char Char Char5"/>
    <w:basedOn w:val="Normal"/>
    <w:rsid w:val="007104F0"/>
    <w:pPr>
      <w:spacing w:after="160" w:line="240" w:lineRule="exact"/>
      <w:jc w:val="left"/>
    </w:pPr>
    <w:rPr>
      <w:rFonts w:ascii="Verdana" w:hAnsi="Verdana" w:cs="Verdana"/>
      <w:sz w:val="20"/>
      <w:lang w:val="en-US"/>
    </w:rPr>
  </w:style>
  <w:style w:type="character" w:customStyle="1" w:styleId="CharCharChar2">
    <w:name w:val="Char Char Char2"/>
    <w:rsid w:val="007104F0"/>
    <w:rPr>
      <w:sz w:val="24"/>
      <w:szCs w:val="24"/>
      <w:lang w:val="sr-Cyrl-CS" w:eastAsia="en-US"/>
    </w:rPr>
  </w:style>
  <w:style w:type="paragraph" w:customStyle="1" w:styleId="CharCharCharChar7">
    <w:name w:val="Char Char Char Char7"/>
    <w:basedOn w:val="Normal"/>
    <w:uiPriority w:val="99"/>
    <w:rsid w:val="007104F0"/>
    <w:pPr>
      <w:spacing w:after="160" w:line="240" w:lineRule="exact"/>
      <w:jc w:val="left"/>
    </w:pPr>
    <w:rPr>
      <w:rFonts w:ascii="Tahoma" w:hAnsi="Tahoma" w:cs="Tahoma"/>
      <w:sz w:val="20"/>
      <w:lang w:val="en-US"/>
    </w:rPr>
  </w:style>
  <w:style w:type="paragraph" w:customStyle="1" w:styleId="CharCharCharCharCharCharCharCharCharChar3">
    <w:name w:val="Char Char Char Char Char Char Char Char Char Char3"/>
    <w:basedOn w:val="Normal"/>
    <w:uiPriority w:val="99"/>
    <w:rsid w:val="007104F0"/>
    <w:pPr>
      <w:spacing w:after="160" w:line="240" w:lineRule="exact"/>
      <w:jc w:val="left"/>
    </w:pPr>
    <w:rPr>
      <w:rFonts w:ascii="Tahoma" w:hAnsi="Tahoma" w:cs="Tahoma"/>
      <w:sz w:val="20"/>
      <w:lang w:val="en-US"/>
    </w:rPr>
  </w:style>
  <w:style w:type="paragraph" w:customStyle="1" w:styleId="CharCharCharCharCharCharCharCharCharChar12">
    <w:name w:val="Char Char Char Char Char Char Char Char Char Char12"/>
    <w:basedOn w:val="Normal"/>
    <w:uiPriority w:val="99"/>
    <w:rsid w:val="007104F0"/>
    <w:pPr>
      <w:spacing w:after="160" w:line="240" w:lineRule="exact"/>
      <w:jc w:val="left"/>
    </w:pPr>
    <w:rPr>
      <w:rFonts w:ascii="Tahoma" w:hAnsi="Tahoma" w:cs="Tahoma"/>
      <w:sz w:val="20"/>
      <w:lang w:val="en-US"/>
    </w:rPr>
  </w:style>
  <w:style w:type="character" w:customStyle="1" w:styleId="FootnoteTextCharCharCharCharCharCharCharCharChar">
    <w:name w:val="Footnote Text Char Char Char Char Char Char Char Char Char"/>
    <w:semiHidden/>
    <w:rsid w:val="007104F0"/>
    <w:rPr>
      <w:lang w:val="de-DE"/>
    </w:rPr>
  </w:style>
  <w:style w:type="paragraph" w:customStyle="1" w:styleId="CharCharCharCharCharCharChar1">
    <w:name w:val="Char Char Char Char Char Char Char1"/>
    <w:basedOn w:val="Normal"/>
    <w:uiPriority w:val="99"/>
    <w:rsid w:val="007104F0"/>
    <w:pPr>
      <w:spacing w:after="160" w:line="240" w:lineRule="exact"/>
      <w:jc w:val="left"/>
    </w:pPr>
    <w:rPr>
      <w:rFonts w:ascii="Tahoma" w:hAnsi="Tahoma" w:cs="Tahoma"/>
      <w:sz w:val="20"/>
      <w:lang w:val="en-US"/>
    </w:rPr>
  </w:style>
  <w:style w:type="paragraph" w:customStyle="1" w:styleId="CharCharChar11">
    <w:name w:val="Char Char Char11"/>
    <w:basedOn w:val="Normal"/>
    <w:uiPriority w:val="99"/>
    <w:rsid w:val="007104F0"/>
    <w:pPr>
      <w:spacing w:after="160" w:line="240" w:lineRule="exact"/>
      <w:jc w:val="left"/>
    </w:pPr>
    <w:rPr>
      <w:rFonts w:ascii="Tahoma" w:hAnsi="Tahoma" w:cs="Tahoma"/>
      <w:sz w:val="20"/>
      <w:lang w:val="en-US"/>
    </w:rPr>
  </w:style>
  <w:style w:type="paragraph" w:customStyle="1" w:styleId="CharChar1">
    <w:name w:val="Char Char1"/>
    <w:basedOn w:val="Normal"/>
    <w:uiPriority w:val="99"/>
    <w:rsid w:val="007104F0"/>
    <w:pPr>
      <w:spacing w:after="160" w:line="240" w:lineRule="exact"/>
      <w:jc w:val="left"/>
    </w:pPr>
    <w:rPr>
      <w:rFonts w:ascii="Tahoma" w:hAnsi="Tahoma" w:cs="Tahoma"/>
      <w:sz w:val="20"/>
      <w:lang w:val="en-US"/>
    </w:rPr>
  </w:style>
  <w:style w:type="paragraph" w:customStyle="1" w:styleId="Text2">
    <w:name w:val="Text 2"/>
    <w:basedOn w:val="Normal"/>
    <w:semiHidden/>
    <w:rsid w:val="007104F0"/>
    <w:pPr>
      <w:tabs>
        <w:tab w:val="left" w:pos="2161"/>
      </w:tabs>
      <w:spacing w:after="240"/>
      <w:ind w:left="1202"/>
    </w:pPr>
    <w:rPr>
      <w:rFonts w:ascii="Tahoma" w:hAnsi="Tahoma" w:cs="Tahoma"/>
      <w:color w:val="000000"/>
      <w:szCs w:val="24"/>
      <w:lang w:val="en-GB" w:eastAsia="en-GB"/>
    </w:rPr>
  </w:style>
  <w:style w:type="paragraph" w:customStyle="1" w:styleId="CharCharCharCharCharCharCharCharCharCharCharChar1">
    <w:name w:val="Char Char Char Char Char Char Char Char Char Char Char Char1"/>
    <w:basedOn w:val="Normal"/>
    <w:uiPriority w:val="99"/>
    <w:rsid w:val="007104F0"/>
    <w:pPr>
      <w:spacing w:after="160" w:line="240" w:lineRule="exact"/>
      <w:jc w:val="left"/>
    </w:pPr>
    <w:rPr>
      <w:rFonts w:ascii="Tahoma" w:hAnsi="Tahoma" w:cs="Tahoma"/>
      <w:sz w:val="20"/>
      <w:lang w:val="en-US"/>
    </w:rPr>
  </w:style>
  <w:style w:type="character" w:customStyle="1" w:styleId="ListParagraphChar">
    <w:name w:val="List Paragraph Char"/>
    <w:link w:val="ListParagraph"/>
    <w:uiPriority w:val="99"/>
    <w:locked/>
    <w:rsid w:val="007104F0"/>
    <w:rPr>
      <w:rFonts w:ascii="Calibri" w:eastAsia="Times New Roman" w:hAnsi="Calibri" w:cs="Times New Roman"/>
      <w:lang w:val="x-none" w:eastAsia="x-none"/>
    </w:rPr>
  </w:style>
  <w:style w:type="character" w:customStyle="1" w:styleId="CharCharChar4">
    <w:name w:val="Char Char Char4"/>
    <w:uiPriority w:val="99"/>
    <w:rsid w:val="007104F0"/>
    <w:rPr>
      <w:sz w:val="24"/>
      <w:szCs w:val="24"/>
      <w:lang w:val="sr-Cyrl-CS" w:eastAsia="en-US"/>
    </w:rPr>
  </w:style>
  <w:style w:type="paragraph" w:customStyle="1" w:styleId="font9">
    <w:name w:val="font9"/>
    <w:basedOn w:val="Normal"/>
    <w:rsid w:val="007104F0"/>
    <w:pPr>
      <w:spacing w:before="100" w:beforeAutospacing="1" w:after="100" w:afterAutospacing="1"/>
      <w:jc w:val="left"/>
    </w:pPr>
    <w:rPr>
      <w:rFonts w:ascii="Tahoma" w:hAnsi="Tahoma" w:cs="Tahoma"/>
      <w:color w:val="000000"/>
      <w:sz w:val="18"/>
      <w:szCs w:val="18"/>
      <w:lang w:val="en-US"/>
    </w:rPr>
  </w:style>
  <w:style w:type="paragraph" w:customStyle="1" w:styleId="font10">
    <w:name w:val="font10"/>
    <w:basedOn w:val="Normal"/>
    <w:rsid w:val="007104F0"/>
    <w:pPr>
      <w:spacing w:before="100" w:beforeAutospacing="1" w:after="100" w:afterAutospacing="1"/>
      <w:jc w:val="left"/>
    </w:pPr>
    <w:rPr>
      <w:rFonts w:ascii="Tahoma" w:hAnsi="Tahoma" w:cs="Tahoma"/>
      <w:b/>
      <w:bCs/>
      <w:color w:val="000000"/>
      <w:sz w:val="18"/>
      <w:szCs w:val="18"/>
      <w:lang w:val="en-US"/>
    </w:rPr>
  </w:style>
  <w:style w:type="paragraph" w:customStyle="1" w:styleId="xl113">
    <w:name w:val="xl11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4"/>
      <w:szCs w:val="14"/>
      <w:lang w:val="en-US"/>
    </w:rPr>
  </w:style>
  <w:style w:type="paragraph" w:customStyle="1" w:styleId="xl114">
    <w:name w:val="xl11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US"/>
    </w:rPr>
  </w:style>
  <w:style w:type="paragraph" w:customStyle="1" w:styleId="xl115">
    <w:name w:val="xl115"/>
    <w:basedOn w:val="Normal"/>
    <w:uiPriority w:val="99"/>
    <w:rsid w:val="007104F0"/>
    <w:pPr>
      <w:shd w:val="clear" w:color="000000" w:fill="FFFFFF"/>
      <w:spacing w:before="100" w:beforeAutospacing="1" w:after="100" w:afterAutospacing="1"/>
      <w:jc w:val="left"/>
    </w:pPr>
    <w:rPr>
      <w:sz w:val="14"/>
      <w:szCs w:val="14"/>
      <w:lang w:val="en-US"/>
    </w:rPr>
  </w:style>
  <w:style w:type="numbering" w:styleId="111111">
    <w:name w:val="Outline List 2"/>
    <w:basedOn w:val="NoList"/>
    <w:rsid w:val="007104F0"/>
    <w:pPr>
      <w:numPr>
        <w:numId w:val="1"/>
      </w:numPr>
    </w:pPr>
  </w:style>
  <w:style w:type="paragraph" w:customStyle="1" w:styleId="CharCharChar1Char">
    <w:name w:val="Char Char Char1 Char"/>
    <w:basedOn w:val="Normal"/>
    <w:rsid w:val="007104F0"/>
    <w:pPr>
      <w:tabs>
        <w:tab w:val="left" w:pos="567"/>
      </w:tabs>
      <w:spacing w:before="120" w:after="160" w:line="240" w:lineRule="exact"/>
      <w:ind w:left="1584" w:hanging="504"/>
      <w:jc w:val="left"/>
    </w:pPr>
    <w:rPr>
      <w:rFonts w:ascii="Arial" w:hAnsi="Arial"/>
      <w:b/>
      <w:bCs/>
      <w:color w:val="000080"/>
      <w:sz w:val="20"/>
      <w:lang w:val="en-US"/>
    </w:rPr>
  </w:style>
  <w:style w:type="character" w:customStyle="1" w:styleId="hps">
    <w:name w:val="hps"/>
    <w:rsid w:val="007104F0"/>
  </w:style>
  <w:style w:type="character" w:customStyle="1" w:styleId="shorttext">
    <w:name w:val="short_text"/>
    <w:rsid w:val="007104F0"/>
  </w:style>
  <w:style w:type="paragraph" w:customStyle="1" w:styleId="Normal3">
    <w:name w:val="Normal3"/>
    <w:basedOn w:val="Normal"/>
    <w:rsid w:val="007104F0"/>
    <w:pPr>
      <w:spacing w:before="100" w:beforeAutospacing="1" w:after="100" w:afterAutospacing="1"/>
      <w:jc w:val="left"/>
    </w:pPr>
    <w:rPr>
      <w:rFonts w:ascii="Arial" w:hAnsi="Arial" w:cs="Arial"/>
      <w:sz w:val="22"/>
      <w:szCs w:val="22"/>
      <w:lang w:val="sr-Latn-CS" w:eastAsia="sr-Latn-CS"/>
    </w:rPr>
  </w:style>
  <w:style w:type="table" w:customStyle="1" w:styleId="PlainTable51">
    <w:name w:val="Plain Table 51"/>
    <w:basedOn w:val="TableNormal"/>
    <w:uiPriority w:val="45"/>
    <w:rsid w:val="007104F0"/>
    <w:rPr>
      <w:rFonts w:ascii="Calibri" w:eastAsia="Calibri" w:hAnsi="Calibri" w:cs="Times New Roman"/>
    </w:rPr>
    <w:tblPr>
      <w:tblStyleRowBandSize w:val="1"/>
      <w:tblStyleColBandSize w:val="1"/>
    </w:tblPr>
    <w:tblStylePr w:type="firstRow">
      <w:rPr>
        <w:rFonts w:ascii="Bahnschrift Light SemiCondensed" w:eastAsia="Times New Roman" w:hAnsi="Bahnschrift Light SemiCondensed" w:cs="Times New Roman"/>
        <w:i/>
        <w:iCs/>
        <w:sz w:val="26"/>
      </w:rPr>
      <w:tblPr/>
      <w:tcPr>
        <w:tcBorders>
          <w:bottom w:val="single" w:sz="4" w:space="0" w:color="7F7F7F"/>
        </w:tcBorders>
        <w:shd w:val="clear" w:color="auto" w:fill="FFFFFF"/>
      </w:tcPr>
    </w:tblStylePr>
    <w:tblStylePr w:type="lastRow">
      <w:rPr>
        <w:rFonts w:ascii="Bahnschrift Light SemiCondensed" w:eastAsia="Times New Roman" w:hAnsi="Bahnschrift Light SemiCondensed" w:cs="Times New Roman"/>
        <w:i/>
        <w:iCs/>
        <w:sz w:val="26"/>
      </w:rPr>
      <w:tblPr/>
      <w:tcPr>
        <w:tcBorders>
          <w:top w:val="single" w:sz="4" w:space="0" w:color="7F7F7F"/>
        </w:tcBorders>
        <w:shd w:val="clear" w:color="auto" w:fill="FFFFFF"/>
      </w:tcPr>
    </w:tblStylePr>
    <w:tblStylePr w:type="firstCol">
      <w:pPr>
        <w:jc w:val="right"/>
      </w:pPr>
      <w:rPr>
        <w:rFonts w:ascii="Bahnschrift Light SemiCondensed" w:eastAsia="Times New Roman" w:hAnsi="Bahnschrift Light SemiCondensed" w:cs="Times New Roman"/>
        <w:i/>
        <w:iCs/>
        <w:sz w:val="26"/>
      </w:rPr>
      <w:tblPr/>
      <w:tcPr>
        <w:tcBorders>
          <w:right w:val="single" w:sz="4" w:space="0" w:color="7F7F7F"/>
        </w:tcBorders>
        <w:shd w:val="clear" w:color="auto" w:fill="FFFFFF"/>
      </w:tcPr>
    </w:tblStylePr>
    <w:tblStylePr w:type="lastCol">
      <w:rPr>
        <w:rFonts w:ascii="Bahnschrift Light SemiCondensed" w:eastAsia="Times New Roman" w:hAnsi="Bahnschrift Light SemiCondense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snovnisud">
    <w:name w:val="osnovni_sud"/>
    <w:basedOn w:val="DefaultParagraphFont"/>
    <w:rsid w:val="007104F0"/>
  </w:style>
  <w:style w:type="table" w:customStyle="1" w:styleId="GridTable4-Accent11">
    <w:name w:val="Grid Table 4 - Accent 11"/>
    <w:basedOn w:val="TableNormal"/>
    <w:uiPriority w:val="49"/>
    <w:rsid w:val="007104F0"/>
    <w:rPr>
      <w:rFonts w:ascii="Calibri" w:eastAsia="Calibri" w:hAnsi="Calibri"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rsid w:val="007104F0"/>
    <w:rPr>
      <w:rFonts w:ascii="Calibri" w:eastAsia="Calibri"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11">
    <w:name w:val="List Table 1 Light - Accent 11"/>
    <w:basedOn w:val="TableNormal"/>
    <w:uiPriority w:val="46"/>
    <w:rsid w:val="007104F0"/>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1">
    <w:name w:val="List Table 2 - Accent 11"/>
    <w:basedOn w:val="TableNormal"/>
    <w:uiPriority w:val="47"/>
    <w:rsid w:val="007104F0"/>
    <w:rPr>
      <w:rFonts w:ascii="Calibri" w:eastAsia="Calibri" w:hAnsi="Calibri" w:cs="Times New Roman"/>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1">
    <w:name w:val="List Table 3 - Accent 11"/>
    <w:basedOn w:val="TableNormal"/>
    <w:uiPriority w:val="48"/>
    <w:rsid w:val="007104F0"/>
    <w:rPr>
      <w:rFonts w:ascii="Calibri" w:eastAsia="Calibri" w:hAnsi="Calibri"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6Colorful-Accent11">
    <w:name w:val="List Table 6 Colorful - Accent 11"/>
    <w:basedOn w:val="TableNormal"/>
    <w:uiPriority w:val="51"/>
    <w:rsid w:val="007104F0"/>
    <w:rPr>
      <w:rFonts w:ascii="Calibri" w:eastAsia="Calibri"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51">
    <w:name w:val="List Table 3 - Accent 51"/>
    <w:basedOn w:val="TableNormal"/>
    <w:uiPriority w:val="48"/>
    <w:rsid w:val="007104F0"/>
    <w:rPr>
      <w:rFonts w:ascii="Calibri" w:eastAsia="Calibri"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7Colorful-Accent11">
    <w:name w:val="Grid Table 7 Colorful - Accent 11"/>
    <w:basedOn w:val="TableNormal"/>
    <w:uiPriority w:val="52"/>
    <w:rsid w:val="007104F0"/>
    <w:rPr>
      <w:rFonts w:ascii="Calibri" w:eastAsia="Calibri"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1Light-Accent51">
    <w:name w:val="Grid Table 1 Light - Accent 51"/>
    <w:basedOn w:val="TableNormal"/>
    <w:uiPriority w:val="46"/>
    <w:rsid w:val="007104F0"/>
    <w:rPr>
      <w:rFonts w:ascii="Calibri" w:eastAsia="Calibri"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104F0"/>
    <w:rPr>
      <w:rFonts w:ascii="Calibri" w:eastAsia="Calibri" w:hAnsi="Calibri"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104F0"/>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7104F0"/>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7104F0"/>
    <w:rPr>
      <w:rFonts w:ascii="Calibri" w:eastAsia="Calibri" w:hAnsi="Calibri" w:cs="Arial"/>
      <w:lang w:val="sr-Latn-RS"/>
    </w:rPr>
  </w:style>
  <w:style w:type="paragraph" w:customStyle="1" w:styleId="stil1tekst">
    <w:name w:val="stil_1tekst"/>
    <w:basedOn w:val="Normal"/>
    <w:rsid w:val="007104F0"/>
    <w:pPr>
      <w:ind w:left="525" w:right="525" w:firstLine="240"/>
    </w:pPr>
    <w:rPr>
      <w:rFonts w:ascii="Times New Roman" w:hAnsi="Times New Roman"/>
      <w:szCs w:val="24"/>
      <w:lang w:val="en-US"/>
    </w:rPr>
  </w:style>
  <w:style w:type="table" w:customStyle="1" w:styleId="TableGrid1">
    <w:name w:val="Table Grid1"/>
    <w:basedOn w:val="TableNormal"/>
    <w:next w:val="TableNormal"/>
    <w:uiPriority w:val="59"/>
    <w:rsid w:val="007104F0"/>
    <w:rPr>
      <w:rFonts w:ascii="Constantia" w:eastAsia="Constantia" w:hAnsi="Constantia" w:cs="Times New Roman"/>
      <w:lang w:val="sr-Cyrl-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
    <w:name w:val="Plain Table 11"/>
    <w:basedOn w:val="TableNormal"/>
    <w:uiPriority w:val="41"/>
    <w:rsid w:val="007104F0"/>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
    <w:name w:val="Grid Table 4 - Accent 51"/>
    <w:basedOn w:val="TableNormal"/>
    <w:uiPriority w:val="49"/>
    <w:rsid w:val="007104F0"/>
    <w:rPr>
      <w:rFonts w:ascii="Times New Roman" w:eastAsia="Times New Roman" w:hAnsi="Times New Roman" w:cs="Times New Roman"/>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51">
    <w:name w:val="Grid Table 6 Colorful - Accent 51"/>
    <w:basedOn w:val="TableNormal"/>
    <w:uiPriority w:val="51"/>
    <w:rsid w:val="007104F0"/>
    <w:rPr>
      <w:rFonts w:ascii="Times New Roman" w:eastAsia="Times New Roman" w:hAnsi="Times New Roman" w:cs="Times New Roman"/>
      <w:color w:val="31849B"/>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7Colorful-Accent41">
    <w:name w:val="Grid Table 7 Colorful - Accent 41"/>
    <w:basedOn w:val="TableNormal"/>
    <w:uiPriority w:val="52"/>
    <w:rsid w:val="007104F0"/>
    <w:rPr>
      <w:rFonts w:ascii="Times New Roman" w:eastAsia="Times New Roman" w:hAnsi="Times New Roman" w:cs="Times New Roman"/>
      <w:color w:val="5F497A"/>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2-Accent11">
    <w:name w:val="Grid Table 2 - Accent 11"/>
    <w:basedOn w:val="TableNormal"/>
    <w:uiPriority w:val="47"/>
    <w:rsid w:val="007104F0"/>
    <w:rPr>
      <w:rFonts w:ascii="Times New Roman" w:eastAsia="Times New Roman" w:hAnsi="Times New Roman" w:cs="Times New Roman"/>
      <w:sz w:val="20"/>
      <w:szCs w:val="20"/>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EndnoteText">
    <w:name w:val="endnote text"/>
    <w:basedOn w:val="Normal"/>
    <w:link w:val="EndnoteTextChar"/>
    <w:rsid w:val="007104F0"/>
    <w:rPr>
      <w:sz w:val="20"/>
    </w:rPr>
  </w:style>
  <w:style w:type="character" w:customStyle="1" w:styleId="EndnoteTextChar">
    <w:name w:val="Endnote Text Char"/>
    <w:basedOn w:val="DefaultParagraphFont"/>
    <w:link w:val="EndnoteText"/>
    <w:rsid w:val="007104F0"/>
    <w:rPr>
      <w:rFonts w:ascii="CTimesRoman" w:eastAsia="Times New Roman" w:hAnsi="CTimesRoman" w:cs="Times New Roman"/>
      <w:sz w:val="20"/>
      <w:szCs w:val="20"/>
      <w:lang w:val="sr-Cyrl-CS"/>
    </w:rPr>
  </w:style>
  <w:style w:type="character" w:styleId="EndnoteReference">
    <w:name w:val="endnote reference"/>
    <w:rsid w:val="007104F0"/>
    <w:rPr>
      <w:vertAlign w:val="superscript"/>
    </w:rPr>
  </w:style>
  <w:style w:type="character" w:customStyle="1" w:styleId="FootnoteTextChar1">
    <w:name w:val="Footnote Text Char1"/>
    <w:aliases w:val="fn Char1,Footnote Text Char Char Char Char1,Footnote Text Char Char Char2,Fußnote Char1,Car Car Char1,Footnote Text Char Char1 Char1,Footnote Text Char1 Char Char Char1,Footnote Text Char Char1 Char Char Char1"/>
    <w:uiPriority w:val="99"/>
    <w:semiHidden/>
    <w:rsid w:val="007104F0"/>
    <w:rPr>
      <w:rFonts w:ascii="CTimesRoman" w:eastAsia="Times New Roman" w:hAnsi="CTimesRoman" w:cs="Times New Roman"/>
      <w:sz w:val="20"/>
      <w:szCs w:val="20"/>
      <w:lang w:val="sr-Cyrl-CS"/>
    </w:rPr>
  </w:style>
  <w:style w:type="table" w:customStyle="1" w:styleId="TableGrid2">
    <w:name w:val="Table Grid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7104F0"/>
  </w:style>
  <w:style w:type="table" w:customStyle="1" w:styleId="TableGrid7">
    <w:name w:val="Table Grid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7104F0"/>
  </w:style>
  <w:style w:type="table" w:customStyle="1" w:styleId="TableGrid8">
    <w:name w:val="Table Grid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7104F0"/>
  </w:style>
  <w:style w:type="table" w:customStyle="1" w:styleId="TableGrid10">
    <w:name w:val="Table Grid1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6">
    <w:name w:val="No List6"/>
    <w:next w:val="NoList"/>
    <w:uiPriority w:val="99"/>
    <w:semiHidden/>
    <w:unhideWhenUsed/>
    <w:rsid w:val="007104F0"/>
  </w:style>
  <w:style w:type="table" w:customStyle="1" w:styleId="TableGrid11">
    <w:name w:val="Table Grid11"/>
    <w:basedOn w:val="TableNormal"/>
    <w:next w:val="TableGrid"/>
    <w:uiPriority w:val="59"/>
    <w:rsid w:val="007104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7104F0"/>
  </w:style>
  <w:style w:type="table" w:customStyle="1" w:styleId="TableGrid14">
    <w:name w:val="Table Grid1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7104F0"/>
  </w:style>
  <w:style w:type="table" w:customStyle="1" w:styleId="TableGrid23">
    <w:name w:val="Table Grid2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9">
    <w:name w:val="No List9"/>
    <w:next w:val="NoList"/>
    <w:uiPriority w:val="99"/>
    <w:semiHidden/>
    <w:unhideWhenUsed/>
    <w:rsid w:val="007104F0"/>
  </w:style>
  <w:style w:type="table" w:customStyle="1" w:styleId="TableGrid24">
    <w:name w:val="Table Grid2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52">
    <w:name w:val="Plain Table 52"/>
    <w:basedOn w:val="TableNormal"/>
    <w:uiPriority w:val="45"/>
    <w:rsid w:val="00710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0">
    <w:name w:val="No List10"/>
    <w:next w:val="NoList"/>
    <w:uiPriority w:val="99"/>
    <w:semiHidden/>
    <w:unhideWhenUsed/>
    <w:rsid w:val="007104F0"/>
  </w:style>
  <w:style w:type="table" w:customStyle="1" w:styleId="TableGrid25">
    <w:name w:val="Table Grid2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0">
    <w:name w:val="Table Grid30"/>
    <w:basedOn w:val="TableNormal"/>
    <w:next w:val="TableGrid"/>
    <w:uiPriority w:val="59"/>
    <w:rsid w:val="007104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
    <w:name w:val="Table Grid3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5">
    <w:name w:val="Table Grid3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
    <w:name w:val="No List11"/>
    <w:next w:val="NoList"/>
    <w:uiPriority w:val="99"/>
    <w:semiHidden/>
    <w:unhideWhenUsed/>
    <w:rsid w:val="007104F0"/>
  </w:style>
  <w:style w:type="table" w:customStyle="1" w:styleId="TableGrid36">
    <w:name w:val="Table Grid3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7">
    <w:name w:val="Table Grid3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8">
    <w:name w:val="Table Grid3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9">
    <w:name w:val="Table Grid3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7104F0"/>
  </w:style>
  <w:style w:type="table" w:customStyle="1" w:styleId="TableGrid41">
    <w:name w:val="Table Grid4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3">
    <w:name w:val="No List13"/>
    <w:next w:val="NoList"/>
    <w:uiPriority w:val="99"/>
    <w:semiHidden/>
    <w:unhideWhenUsed/>
    <w:rsid w:val="007104F0"/>
  </w:style>
  <w:style w:type="table" w:customStyle="1" w:styleId="TableGrid42">
    <w:name w:val="Table Grid4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
    <w:name w:val="Table Grid4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
    <w:name w:val="Table Grid4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5">
    <w:name w:val="Table Grid4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4">
    <w:name w:val="No List14"/>
    <w:next w:val="NoList"/>
    <w:uiPriority w:val="99"/>
    <w:semiHidden/>
    <w:unhideWhenUsed/>
    <w:rsid w:val="007104F0"/>
  </w:style>
  <w:style w:type="table" w:customStyle="1" w:styleId="TableGrid46">
    <w:name w:val="Table Grid4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7">
    <w:name w:val="Table Grid4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8">
    <w:name w:val="Table Grid4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9">
    <w:name w:val="Table Grid4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5">
    <w:name w:val="No List15"/>
    <w:next w:val="NoList"/>
    <w:uiPriority w:val="99"/>
    <w:semiHidden/>
    <w:unhideWhenUsed/>
    <w:rsid w:val="007104F0"/>
  </w:style>
  <w:style w:type="table" w:customStyle="1" w:styleId="TableGrid50">
    <w:name w:val="Table Grid5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6">
    <w:name w:val="No List16"/>
    <w:next w:val="NoList"/>
    <w:uiPriority w:val="99"/>
    <w:semiHidden/>
    <w:unhideWhenUsed/>
    <w:rsid w:val="007104F0"/>
  </w:style>
  <w:style w:type="table" w:customStyle="1" w:styleId="TableGrid51">
    <w:name w:val="Table Grid5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7">
    <w:name w:val="No List17"/>
    <w:next w:val="NoList"/>
    <w:uiPriority w:val="99"/>
    <w:semiHidden/>
    <w:unhideWhenUsed/>
    <w:rsid w:val="007104F0"/>
  </w:style>
  <w:style w:type="table" w:customStyle="1" w:styleId="TableGrid52">
    <w:name w:val="Table Grid5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8">
    <w:name w:val="No List18"/>
    <w:next w:val="NoList"/>
    <w:uiPriority w:val="99"/>
    <w:semiHidden/>
    <w:unhideWhenUsed/>
    <w:rsid w:val="007104F0"/>
  </w:style>
  <w:style w:type="table" w:customStyle="1" w:styleId="TableGrid53">
    <w:name w:val="Table Grid5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Normal"/>
    <w:rsid w:val="007104F0"/>
    <w:pPr>
      <w:widowControl w:val="0"/>
      <w:suppressAutoHyphens/>
      <w:autoSpaceDN w:val="0"/>
      <w:spacing w:after="120"/>
      <w:jc w:val="left"/>
      <w:textAlignment w:val="baseline"/>
    </w:pPr>
    <w:rPr>
      <w:rFonts w:ascii="Times New Roman" w:eastAsia="SimSun" w:hAnsi="Times New Roman" w:cs="Mangal"/>
      <w:kern w:val="3"/>
      <w:szCs w:val="24"/>
      <w:lang w:val="en-US" w:eastAsia="zh-CN" w:bidi="hi-IN"/>
    </w:rPr>
  </w:style>
  <w:style w:type="table" w:customStyle="1" w:styleId="PlainTable511">
    <w:name w:val="Plain Table 511"/>
    <w:basedOn w:val="TableNormal"/>
    <w:uiPriority w:val="45"/>
    <w:rsid w:val="007104F0"/>
    <w:rPr>
      <w:rFonts w:ascii="Calibri" w:eastAsia="Calibri" w:hAnsi="Calibri" w:cs="Times New Roman"/>
      <w:lang w:val="sr-Cyrl-CS"/>
    </w:rPr>
    <w:tblPr>
      <w:tblStyleRowBandSize w:val="1"/>
      <w:tblStyleColBandSize w:val="1"/>
    </w:tblPr>
    <w:tblStylePr w:type="firstRow">
      <w:rPr>
        <w:rFonts w:ascii="CTimesRoman" w:eastAsia="Times New Roman" w:hAnsi="CTimesRoman" w:cs="Times New Roman"/>
        <w:i/>
        <w:iCs/>
        <w:sz w:val="26"/>
      </w:rPr>
      <w:tblPr/>
      <w:tcPr>
        <w:tcBorders>
          <w:bottom w:val="single" w:sz="4" w:space="0" w:color="7F7F7F"/>
        </w:tcBorders>
        <w:shd w:val="clear" w:color="auto" w:fill="FFFFFF"/>
      </w:tcPr>
    </w:tblStylePr>
    <w:tblStylePr w:type="lastRow">
      <w:rPr>
        <w:rFonts w:ascii="CTimesRoman" w:eastAsia="Times New Roman" w:hAnsi="CTimesRoman" w:cs="Times New Roman"/>
        <w:i/>
        <w:iCs/>
        <w:sz w:val="26"/>
      </w:rPr>
      <w:tblPr/>
      <w:tcPr>
        <w:tcBorders>
          <w:top w:val="single" w:sz="4" w:space="0" w:color="7F7F7F"/>
        </w:tcBorders>
        <w:shd w:val="clear" w:color="auto" w:fill="FFFFFF"/>
      </w:tcPr>
    </w:tblStylePr>
    <w:tblStylePr w:type="firstCol">
      <w:pPr>
        <w:jc w:val="right"/>
      </w:pPr>
      <w:rPr>
        <w:rFonts w:ascii="CTimesRoman" w:eastAsia="Times New Roman" w:hAnsi="CTimesRoman" w:cs="Times New Roman"/>
        <w:i/>
        <w:iCs/>
        <w:sz w:val="26"/>
      </w:rPr>
      <w:tblPr/>
      <w:tcPr>
        <w:tcBorders>
          <w:right w:val="single" w:sz="4" w:space="0" w:color="7F7F7F"/>
        </w:tcBorders>
        <w:shd w:val="clear" w:color="auto" w:fill="FFFFFF"/>
      </w:tcPr>
    </w:tblStylePr>
    <w:tblStylePr w:type="lastCol">
      <w:rPr>
        <w:rFonts w:ascii="CTimesRoman" w:eastAsia="Times New Roman" w:hAnsi="CTimes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uiPriority w:val="99"/>
    <w:semiHidden/>
    <w:unhideWhenUsed/>
    <w:rsid w:val="007104F0"/>
  </w:style>
  <w:style w:type="table" w:customStyle="1" w:styleId="TableGrid131">
    <w:name w:val="Table Grid13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53">
    <w:name w:val="Plain Table 53"/>
    <w:basedOn w:val="TableNormal"/>
    <w:uiPriority w:val="45"/>
    <w:rsid w:val="00710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
    <w:name w:val="Plain Table 54"/>
    <w:basedOn w:val="TableNormal"/>
    <w:uiPriority w:val="45"/>
    <w:rsid w:val="007104F0"/>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5">
    <w:name w:val="Plain Table 55"/>
    <w:basedOn w:val="TableNormal"/>
    <w:uiPriority w:val="45"/>
    <w:rsid w:val="00640E74"/>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3">
    <w:name w:val="Plain Table 513"/>
    <w:basedOn w:val="TableNormal"/>
    <w:uiPriority w:val="45"/>
    <w:rsid w:val="007B7E49"/>
    <w:rPr>
      <w:lang w:val="sr-Cyrl-CS"/>
    </w:rPr>
    <w:tblPr>
      <w:tblStyleRowBandSize w:val="1"/>
      <w:tblStyleColBandSize w:val="1"/>
    </w:tblPr>
    <w:tblStylePr w:type="firstRow">
      <w:rPr>
        <w:rFonts w:ascii="Bahnschrift SemiLight SemiConde" w:eastAsia="Times New Roman" w:hAnsi="Bahnschrift SemiLight SemiConde" w:cs="Times New Roman"/>
        <w:i/>
        <w:iCs/>
        <w:sz w:val="26"/>
      </w:rPr>
      <w:tblPr/>
      <w:tcPr>
        <w:tcBorders>
          <w:bottom w:val="single" w:sz="4" w:space="0" w:color="7F7F7F"/>
        </w:tcBorders>
        <w:shd w:val="clear" w:color="auto" w:fill="FFFFFF"/>
      </w:tcPr>
    </w:tblStylePr>
    <w:tblStylePr w:type="lastRow">
      <w:rPr>
        <w:rFonts w:ascii="Bahnschrift SemiLight SemiConde" w:eastAsia="Times New Roman" w:hAnsi="Bahnschrift SemiLight SemiConde" w:cs="Times New Roman"/>
        <w:i/>
        <w:iCs/>
        <w:sz w:val="26"/>
      </w:rPr>
      <w:tblPr/>
      <w:tcPr>
        <w:tcBorders>
          <w:top w:val="single" w:sz="4" w:space="0" w:color="7F7F7F"/>
        </w:tcBorders>
        <w:shd w:val="clear" w:color="auto" w:fill="FFFFFF"/>
      </w:tcPr>
    </w:tblStylePr>
    <w:tblStylePr w:type="firstCol">
      <w:pPr>
        <w:jc w:val="right"/>
      </w:pPr>
      <w:rPr>
        <w:rFonts w:ascii="Bahnschrift SemiLight SemiConde" w:eastAsia="Times New Roman" w:hAnsi="Bahnschrift SemiLight SemiConde" w:cs="Times New Roman"/>
        <w:i/>
        <w:iCs/>
        <w:sz w:val="26"/>
      </w:rPr>
      <w:tblPr/>
      <w:tcPr>
        <w:tcBorders>
          <w:right w:val="single" w:sz="4" w:space="0" w:color="7F7F7F"/>
        </w:tcBorders>
        <w:shd w:val="clear" w:color="auto" w:fill="FFFFFF"/>
      </w:tcPr>
    </w:tblStylePr>
    <w:tblStylePr w:type="lastCol">
      <w:rPr>
        <w:rFonts w:ascii="Bahnschrift SemiLight SemiConde" w:eastAsia="Times New Roman" w:hAnsi="Bahnschrift SemiLight SemiCond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910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39">
      <w:bodyDiv w:val="1"/>
      <w:marLeft w:val="0"/>
      <w:marRight w:val="0"/>
      <w:marTop w:val="0"/>
      <w:marBottom w:val="0"/>
      <w:divBdr>
        <w:top w:val="none" w:sz="0" w:space="0" w:color="auto"/>
        <w:left w:val="none" w:sz="0" w:space="0" w:color="auto"/>
        <w:bottom w:val="none" w:sz="0" w:space="0" w:color="auto"/>
        <w:right w:val="none" w:sz="0" w:space="0" w:color="auto"/>
      </w:divBdr>
    </w:div>
    <w:div w:id="31346694">
      <w:bodyDiv w:val="1"/>
      <w:marLeft w:val="0"/>
      <w:marRight w:val="0"/>
      <w:marTop w:val="0"/>
      <w:marBottom w:val="0"/>
      <w:divBdr>
        <w:top w:val="none" w:sz="0" w:space="0" w:color="auto"/>
        <w:left w:val="none" w:sz="0" w:space="0" w:color="auto"/>
        <w:bottom w:val="none" w:sz="0" w:space="0" w:color="auto"/>
        <w:right w:val="none" w:sz="0" w:space="0" w:color="auto"/>
      </w:divBdr>
    </w:div>
    <w:div w:id="44259476">
      <w:bodyDiv w:val="1"/>
      <w:marLeft w:val="0"/>
      <w:marRight w:val="0"/>
      <w:marTop w:val="0"/>
      <w:marBottom w:val="0"/>
      <w:divBdr>
        <w:top w:val="none" w:sz="0" w:space="0" w:color="auto"/>
        <w:left w:val="none" w:sz="0" w:space="0" w:color="auto"/>
        <w:bottom w:val="none" w:sz="0" w:space="0" w:color="auto"/>
        <w:right w:val="none" w:sz="0" w:space="0" w:color="auto"/>
      </w:divBdr>
    </w:div>
    <w:div w:id="53630057">
      <w:bodyDiv w:val="1"/>
      <w:marLeft w:val="0"/>
      <w:marRight w:val="0"/>
      <w:marTop w:val="0"/>
      <w:marBottom w:val="0"/>
      <w:divBdr>
        <w:top w:val="none" w:sz="0" w:space="0" w:color="auto"/>
        <w:left w:val="none" w:sz="0" w:space="0" w:color="auto"/>
        <w:bottom w:val="none" w:sz="0" w:space="0" w:color="auto"/>
        <w:right w:val="none" w:sz="0" w:space="0" w:color="auto"/>
      </w:divBdr>
    </w:div>
    <w:div w:id="81878730">
      <w:bodyDiv w:val="1"/>
      <w:marLeft w:val="0"/>
      <w:marRight w:val="0"/>
      <w:marTop w:val="0"/>
      <w:marBottom w:val="0"/>
      <w:divBdr>
        <w:top w:val="none" w:sz="0" w:space="0" w:color="auto"/>
        <w:left w:val="none" w:sz="0" w:space="0" w:color="auto"/>
        <w:bottom w:val="none" w:sz="0" w:space="0" w:color="auto"/>
        <w:right w:val="none" w:sz="0" w:space="0" w:color="auto"/>
      </w:divBdr>
    </w:div>
    <w:div w:id="131562585">
      <w:bodyDiv w:val="1"/>
      <w:marLeft w:val="0"/>
      <w:marRight w:val="0"/>
      <w:marTop w:val="0"/>
      <w:marBottom w:val="0"/>
      <w:divBdr>
        <w:top w:val="none" w:sz="0" w:space="0" w:color="auto"/>
        <w:left w:val="none" w:sz="0" w:space="0" w:color="auto"/>
        <w:bottom w:val="none" w:sz="0" w:space="0" w:color="auto"/>
        <w:right w:val="none" w:sz="0" w:space="0" w:color="auto"/>
      </w:divBdr>
    </w:div>
    <w:div w:id="13345156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205876789">
      <w:bodyDiv w:val="1"/>
      <w:marLeft w:val="0"/>
      <w:marRight w:val="0"/>
      <w:marTop w:val="0"/>
      <w:marBottom w:val="0"/>
      <w:divBdr>
        <w:top w:val="none" w:sz="0" w:space="0" w:color="auto"/>
        <w:left w:val="none" w:sz="0" w:space="0" w:color="auto"/>
        <w:bottom w:val="none" w:sz="0" w:space="0" w:color="auto"/>
        <w:right w:val="none" w:sz="0" w:space="0" w:color="auto"/>
      </w:divBdr>
    </w:div>
    <w:div w:id="229079089">
      <w:bodyDiv w:val="1"/>
      <w:marLeft w:val="0"/>
      <w:marRight w:val="0"/>
      <w:marTop w:val="0"/>
      <w:marBottom w:val="0"/>
      <w:divBdr>
        <w:top w:val="none" w:sz="0" w:space="0" w:color="auto"/>
        <w:left w:val="none" w:sz="0" w:space="0" w:color="auto"/>
        <w:bottom w:val="none" w:sz="0" w:space="0" w:color="auto"/>
        <w:right w:val="none" w:sz="0" w:space="0" w:color="auto"/>
      </w:divBdr>
    </w:div>
    <w:div w:id="237834965">
      <w:bodyDiv w:val="1"/>
      <w:marLeft w:val="0"/>
      <w:marRight w:val="0"/>
      <w:marTop w:val="0"/>
      <w:marBottom w:val="0"/>
      <w:divBdr>
        <w:top w:val="none" w:sz="0" w:space="0" w:color="auto"/>
        <w:left w:val="none" w:sz="0" w:space="0" w:color="auto"/>
        <w:bottom w:val="none" w:sz="0" w:space="0" w:color="auto"/>
        <w:right w:val="none" w:sz="0" w:space="0" w:color="auto"/>
      </w:divBdr>
    </w:div>
    <w:div w:id="243800174">
      <w:bodyDiv w:val="1"/>
      <w:marLeft w:val="0"/>
      <w:marRight w:val="0"/>
      <w:marTop w:val="0"/>
      <w:marBottom w:val="0"/>
      <w:divBdr>
        <w:top w:val="none" w:sz="0" w:space="0" w:color="auto"/>
        <w:left w:val="none" w:sz="0" w:space="0" w:color="auto"/>
        <w:bottom w:val="none" w:sz="0" w:space="0" w:color="auto"/>
        <w:right w:val="none" w:sz="0" w:space="0" w:color="auto"/>
      </w:divBdr>
    </w:div>
    <w:div w:id="291447368">
      <w:bodyDiv w:val="1"/>
      <w:marLeft w:val="0"/>
      <w:marRight w:val="0"/>
      <w:marTop w:val="0"/>
      <w:marBottom w:val="0"/>
      <w:divBdr>
        <w:top w:val="none" w:sz="0" w:space="0" w:color="auto"/>
        <w:left w:val="none" w:sz="0" w:space="0" w:color="auto"/>
        <w:bottom w:val="none" w:sz="0" w:space="0" w:color="auto"/>
        <w:right w:val="none" w:sz="0" w:space="0" w:color="auto"/>
      </w:divBdr>
    </w:div>
    <w:div w:id="316541277">
      <w:bodyDiv w:val="1"/>
      <w:marLeft w:val="0"/>
      <w:marRight w:val="0"/>
      <w:marTop w:val="0"/>
      <w:marBottom w:val="0"/>
      <w:divBdr>
        <w:top w:val="none" w:sz="0" w:space="0" w:color="auto"/>
        <w:left w:val="none" w:sz="0" w:space="0" w:color="auto"/>
        <w:bottom w:val="none" w:sz="0" w:space="0" w:color="auto"/>
        <w:right w:val="none" w:sz="0" w:space="0" w:color="auto"/>
      </w:divBdr>
    </w:div>
    <w:div w:id="364792878">
      <w:bodyDiv w:val="1"/>
      <w:marLeft w:val="0"/>
      <w:marRight w:val="0"/>
      <w:marTop w:val="0"/>
      <w:marBottom w:val="0"/>
      <w:divBdr>
        <w:top w:val="none" w:sz="0" w:space="0" w:color="auto"/>
        <w:left w:val="none" w:sz="0" w:space="0" w:color="auto"/>
        <w:bottom w:val="none" w:sz="0" w:space="0" w:color="auto"/>
        <w:right w:val="none" w:sz="0" w:space="0" w:color="auto"/>
      </w:divBdr>
    </w:div>
    <w:div w:id="427386237">
      <w:bodyDiv w:val="1"/>
      <w:marLeft w:val="0"/>
      <w:marRight w:val="0"/>
      <w:marTop w:val="0"/>
      <w:marBottom w:val="0"/>
      <w:divBdr>
        <w:top w:val="none" w:sz="0" w:space="0" w:color="auto"/>
        <w:left w:val="none" w:sz="0" w:space="0" w:color="auto"/>
        <w:bottom w:val="none" w:sz="0" w:space="0" w:color="auto"/>
        <w:right w:val="none" w:sz="0" w:space="0" w:color="auto"/>
      </w:divBdr>
    </w:div>
    <w:div w:id="437985655">
      <w:bodyDiv w:val="1"/>
      <w:marLeft w:val="0"/>
      <w:marRight w:val="0"/>
      <w:marTop w:val="0"/>
      <w:marBottom w:val="0"/>
      <w:divBdr>
        <w:top w:val="none" w:sz="0" w:space="0" w:color="auto"/>
        <w:left w:val="none" w:sz="0" w:space="0" w:color="auto"/>
        <w:bottom w:val="none" w:sz="0" w:space="0" w:color="auto"/>
        <w:right w:val="none" w:sz="0" w:space="0" w:color="auto"/>
      </w:divBdr>
    </w:div>
    <w:div w:id="442262314">
      <w:bodyDiv w:val="1"/>
      <w:marLeft w:val="0"/>
      <w:marRight w:val="0"/>
      <w:marTop w:val="0"/>
      <w:marBottom w:val="0"/>
      <w:divBdr>
        <w:top w:val="none" w:sz="0" w:space="0" w:color="auto"/>
        <w:left w:val="none" w:sz="0" w:space="0" w:color="auto"/>
        <w:bottom w:val="none" w:sz="0" w:space="0" w:color="auto"/>
        <w:right w:val="none" w:sz="0" w:space="0" w:color="auto"/>
      </w:divBdr>
    </w:div>
    <w:div w:id="470899927">
      <w:bodyDiv w:val="1"/>
      <w:marLeft w:val="0"/>
      <w:marRight w:val="0"/>
      <w:marTop w:val="0"/>
      <w:marBottom w:val="0"/>
      <w:divBdr>
        <w:top w:val="none" w:sz="0" w:space="0" w:color="auto"/>
        <w:left w:val="none" w:sz="0" w:space="0" w:color="auto"/>
        <w:bottom w:val="none" w:sz="0" w:space="0" w:color="auto"/>
        <w:right w:val="none" w:sz="0" w:space="0" w:color="auto"/>
      </w:divBdr>
    </w:div>
    <w:div w:id="488446711">
      <w:bodyDiv w:val="1"/>
      <w:marLeft w:val="0"/>
      <w:marRight w:val="0"/>
      <w:marTop w:val="0"/>
      <w:marBottom w:val="0"/>
      <w:divBdr>
        <w:top w:val="none" w:sz="0" w:space="0" w:color="auto"/>
        <w:left w:val="none" w:sz="0" w:space="0" w:color="auto"/>
        <w:bottom w:val="none" w:sz="0" w:space="0" w:color="auto"/>
        <w:right w:val="none" w:sz="0" w:space="0" w:color="auto"/>
      </w:divBdr>
    </w:div>
    <w:div w:id="502207438">
      <w:bodyDiv w:val="1"/>
      <w:marLeft w:val="0"/>
      <w:marRight w:val="0"/>
      <w:marTop w:val="0"/>
      <w:marBottom w:val="0"/>
      <w:divBdr>
        <w:top w:val="none" w:sz="0" w:space="0" w:color="auto"/>
        <w:left w:val="none" w:sz="0" w:space="0" w:color="auto"/>
        <w:bottom w:val="none" w:sz="0" w:space="0" w:color="auto"/>
        <w:right w:val="none" w:sz="0" w:space="0" w:color="auto"/>
      </w:divBdr>
    </w:div>
    <w:div w:id="505748525">
      <w:bodyDiv w:val="1"/>
      <w:marLeft w:val="0"/>
      <w:marRight w:val="0"/>
      <w:marTop w:val="0"/>
      <w:marBottom w:val="0"/>
      <w:divBdr>
        <w:top w:val="none" w:sz="0" w:space="0" w:color="auto"/>
        <w:left w:val="none" w:sz="0" w:space="0" w:color="auto"/>
        <w:bottom w:val="none" w:sz="0" w:space="0" w:color="auto"/>
        <w:right w:val="none" w:sz="0" w:space="0" w:color="auto"/>
      </w:divBdr>
    </w:div>
    <w:div w:id="665982718">
      <w:bodyDiv w:val="1"/>
      <w:marLeft w:val="0"/>
      <w:marRight w:val="0"/>
      <w:marTop w:val="0"/>
      <w:marBottom w:val="0"/>
      <w:divBdr>
        <w:top w:val="none" w:sz="0" w:space="0" w:color="auto"/>
        <w:left w:val="none" w:sz="0" w:space="0" w:color="auto"/>
        <w:bottom w:val="none" w:sz="0" w:space="0" w:color="auto"/>
        <w:right w:val="none" w:sz="0" w:space="0" w:color="auto"/>
      </w:divBdr>
    </w:div>
    <w:div w:id="715276311">
      <w:bodyDiv w:val="1"/>
      <w:marLeft w:val="0"/>
      <w:marRight w:val="0"/>
      <w:marTop w:val="0"/>
      <w:marBottom w:val="0"/>
      <w:divBdr>
        <w:top w:val="none" w:sz="0" w:space="0" w:color="auto"/>
        <w:left w:val="none" w:sz="0" w:space="0" w:color="auto"/>
        <w:bottom w:val="none" w:sz="0" w:space="0" w:color="auto"/>
        <w:right w:val="none" w:sz="0" w:space="0" w:color="auto"/>
      </w:divBdr>
    </w:div>
    <w:div w:id="736394255">
      <w:bodyDiv w:val="1"/>
      <w:marLeft w:val="0"/>
      <w:marRight w:val="0"/>
      <w:marTop w:val="0"/>
      <w:marBottom w:val="0"/>
      <w:divBdr>
        <w:top w:val="none" w:sz="0" w:space="0" w:color="auto"/>
        <w:left w:val="none" w:sz="0" w:space="0" w:color="auto"/>
        <w:bottom w:val="none" w:sz="0" w:space="0" w:color="auto"/>
        <w:right w:val="none" w:sz="0" w:space="0" w:color="auto"/>
      </w:divBdr>
    </w:div>
    <w:div w:id="743986906">
      <w:bodyDiv w:val="1"/>
      <w:marLeft w:val="0"/>
      <w:marRight w:val="0"/>
      <w:marTop w:val="0"/>
      <w:marBottom w:val="0"/>
      <w:divBdr>
        <w:top w:val="none" w:sz="0" w:space="0" w:color="auto"/>
        <w:left w:val="none" w:sz="0" w:space="0" w:color="auto"/>
        <w:bottom w:val="none" w:sz="0" w:space="0" w:color="auto"/>
        <w:right w:val="none" w:sz="0" w:space="0" w:color="auto"/>
      </w:divBdr>
    </w:div>
    <w:div w:id="755899532">
      <w:bodyDiv w:val="1"/>
      <w:marLeft w:val="0"/>
      <w:marRight w:val="0"/>
      <w:marTop w:val="0"/>
      <w:marBottom w:val="0"/>
      <w:divBdr>
        <w:top w:val="none" w:sz="0" w:space="0" w:color="auto"/>
        <w:left w:val="none" w:sz="0" w:space="0" w:color="auto"/>
        <w:bottom w:val="none" w:sz="0" w:space="0" w:color="auto"/>
        <w:right w:val="none" w:sz="0" w:space="0" w:color="auto"/>
      </w:divBdr>
    </w:div>
    <w:div w:id="774010889">
      <w:bodyDiv w:val="1"/>
      <w:marLeft w:val="0"/>
      <w:marRight w:val="0"/>
      <w:marTop w:val="0"/>
      <w:marBottom w:val="0"/>
      <w:divBdr>
        <w:top w:val="none" w:sz="0" w:space="0" w:color="auto"/>
        <w:left w:val="none" w:sz="0" w:space="0" w:color="auto"/>
        <w:bottom w:val="none" w:sz="0" w:space="0" w:color="auto"/>
        <w:right w:val="none" w:sz="0" w:space="0" w:color="auto"/>
      </w:divBdr>
    </w:div>
    <w:div w:id="818694109">
      <w:bodyDiv w:val="1"/>
      <w:marLeft w:val="0"/>
      <w:marRight w:val="0"/>
      <w:marTop w:val="0"/>
      <w:marBottom w:val="0"/>
      <w:divBdr>
        <w:top w:val="none" w:sz="0" w:space="0" w:color="auto"/>
        <w:left w:val="none" w:sz="0" w:space="0" w:color="auto"/>
        <w:bottom w:val="none" w:sz="0" w:space="0" w:color="auto"/>
        <w:right w:val="none" w:sz="0" w:space="0" w:color="auto"/>
      </w:divBdr>
    </w:div>
    <w:div w:id="834953504">
      <w:bodyDiv w:val="1"/>
      <w:marLeft w:val="0"/>
      <w:marRight w:val="0"/>
      <w:marTop w:val="0"/>
      <w:marBottom w:val="0"/>
      <w:divBdr>
        <w:top w:val="none" w:sz="0" w:space="0" w:color="auto"/>
        <w:left w:val="none" w:sz="0" w:space="0" w:color="auto"/>
        <w:bottom w:val="none" w:sz="0" w:space="0" w:color="auto"/>
        <w:right w:val="none" w:sz="0" w:space="0" w:color="auto"/>
      </w:divBdr>
    </w:div>
    <w:div w:id="901328287">
      <w:bodyDiv w:val="1"/>
      <w:marLeft w:val="0"/>
      <w:marRight w:val="0"/>
      <w:marTop w:val="0"/>
      <w:marBottom w:val="0"/>
      <w:divBdr>
        <w:top w:val="none" w:sz="0" w:space="0" w:color="auto"/>
        <w:left w:val="none" w:sz="0" w:space="0" w:color="auto"/>
        <w:bottom w:val="none" w:sz="0" w:space="0" w:color="auto"/>
        <w:right w:val="none" w:sz="0" w:space="0" w:color="auto"/>
      </w:divBdr>
    </w:div>
    <w:div w:id="914822749">
      <w:bodyDiv w:val="1"/>
      <w:marLeft w:val="0"/>
      <w:marRight w:val="0"/>
      <w:marTop w:val="0"/>
      <w:marBottom w:val="0"/>
      <w:divBdr>
        <w:top w:val="none" w:sz="0" w:space="0" w:color="auto"/>
        <w:left w:val="none" w:sz="0" w:space="0" w:color="auto"/>
        <w:bottom w:val="none" w:sz="0" w:space="0" w:color="auto"/>
        <w:right w:val="none" w:sz="0" w:space="0" w:color="auto"/>
      </w:divBdr>
    </w:div>
    <w:div w:id="959267706">
      <w:bodyDiv w:val="1"/>
      <w:marLeft w:val="0"/>
      <w:marRight w:val="0"/>
      <w:marTop w:val="0"/>
      <w:marBottom w:val="0"/>
      <w:divBdr>
        <w:top w:val="none" w:sz="0" w:space="0" w:color="auto"/>
        <w:left w:val="none" w:sz="0" w:space="0" w:color="auto"/>
        <w:bottom w:val="none" w:sz="0" w:space="0" w:color="auto"/>
        <w:right w:val="none" w:sz="0" w:space="0" w:color="auto"/>
      </w:divBdr>
    </w:div>
    <w:div w:id="967473513">
      <w:bodyDiv w:val="1"/>
      <w:marLeft w:val="0"/>
      <w:marRight w:val="0"/>
      <w:marTop w:val="0"/>
      <w:marBottom w:val="0"/>
      <w:divBdr>
        <w:top w:val="none" w:sz="0" w:space="0" w:color="auto"/>
        <w:left w:val="none" w:sz="0" w:space="0" w:color="auto"/>
        <w:bottom w:val="none" w:sz="0" w:space="0" w:color="auto"/>
        <w:right w:val="none" w:sz="0" w:space="0" w:color="auto"/>
      </w:divBdr>
    </w:div>
    <w:div w:id="969093958">
      <w:bodyDiv w:val="1"/>
      <w:marLeft w:val="0"/>
      <w:marRight w:val="0"/>
      <w:marTop w:val="0"/>
      <w:marBottom w:val="0"/>
      <w:divBdr>
        <w:top w:val="none" w:sz="0" w:space="0" w:color="auto"/>
        <w:left w:val="none" w:sz="0" w:space="0" w:color="auto"/>
        <w:bottom w:val="none" w:sz="0" w:space="0" w:color="auto"/>
        <w:right w:val="none" w:sz="0" w:space="0" w:color="auto"/>
      </w:divBdr>
    </w:div>
    <w:div w:id="1006711784">
      <w:bodyDiv w:val="1"/>
      <w:marLeft w:val="0"/>
      <w:marRight w:val="0"/>
      <w:marTop w:val="0"/>
      <w:marBottom w:val="0"/>
      <w:divBdr>
        <w:top w:val="none" w:sz="0" w:space="0" w:color="auto"/>
        <w:left w:val="none" w:sz="0" w:space="0" w:color="auto"/>
        <w:bottom w:val="none" w:sz="0" w:space="0" w:color="auto"/>
        <w:right w:val="none" w:sz="0" w:space="0" w:color="auto"/>
      </w:divBdr>
    </w:div>
    <w:div w:id="1039017170">
      <w:bodyDiv w:val="1"/>
      <w:marLeft w:val="0"/>
      <w:marRight w:val="0"/>
      <w:marTop w:val="0"/>
      <w:marBottom w:val="0"/>
      <w:divBdr>
        <w:top w:val="none" w:sz="0" w:space="0" w:color="auto"/>
        <w:left w:val="none" w:sz="0" w:space="0" w:color="auto"/>
        <w:bottom w:val="none" w:sz="0" w:space="0" w:color="auto"/>
        <w:right w:val="none" w:sz="0" w:space="0" w:color="auto"/>
      </w:divBdr>
    </w:div>
    <w:div w:id="1047069787">
      <w:bodyDiv w:val="1"/>
      <w:marLeft w:val="0"/>
      <w:marRight w:val="0"/>
      <w:marTop w:val="0"/>
      <w:marBottom w:val="0"/>
      <w:divBdr>
        <w:top w:val="none" w:sz="0" w:space="0" w:color="auto"/>
        <w:left w:val="none" w:sz="0" w:space="0" w:color="auto"/>
        <w:bottom w:val="none" w:sz="0" w:space="0" w:color="auto"/>
        <w:right w:val="none" w:sz="0" w:space="0" w:color="auto"/>
      </w:divBdr>
    </w:div>
    <w:div w:id="1103527017">
      <w:bodyDiv w:val="1"/>
      <w:marLeft w:val="0"/>
      <w:marRight w:val="0"/>
      <w:marTop w:val="0"/>
      <w:marBottom w:val="0"/>
      <w:divBdr>
        <w:top w:val="none" w:sz="0" w:space="0" w:color="auto"/>
        <w:left w:val="none" w:sz="0" w:space="0" w:color="auto"/>
        <w:bottom w:val="none" w:sz="0" w:space="0" w:color="auto"/>
        <w:right w:val="none" w:sz="0" w:space="0" w:color="auto"/>
      </w:divBdr>
    </w:div>
    <w:div w:id="1137457946">
      <w:bodyDiv w:val="1"/>
      <w:marLeft w:val="0"/>
      <w:marRight w:val="0"/>
      <w:marTop w:val="0"/>
      <w:marBottom w:val="0"/>
      <w:divBdr>
        <w:top w:val="none" w:sz="0" w:space="0" w:color="auto"/>
        <w:left w:val="none" w:sz="0" w:space="0" w:color="auto"/>
        <w:bottom w:val="none" w:sz="0" w:space="0" w:color="auto"/>
        <w:right w:val="none" w:sz="0" w:space="0" w:color="auto"/>
      </w:divBdr>
    </w:div>
    <w:div w:id="1140877343">
      <w:bodyDiv w:val="1"/>
      <w:marLeft w:val="0"/>
      <w:marRight w:val="0"/>
      <w:marTop w:val="0"/>
      <w:marBottom w:val="0"/>
      <w:divBdr>
        <w:top w:val="none" w:sz="0" w:space="0" w:color="auto"/>
        <w:left w:val="none" w:sz="0" w:space="0" w:color="auto"/>
        <w:bottom w:val="none" w:sz="0" w:space="0" w:color="auto"/>
        <w:right w:val="none" w:sz="0" w:space="0" w:color="auto"/>
      </w:divBdr>
    </w:div>
    <w:div w:id="1171529592">
      <w:bodyDiv w:val="1"/>
      <w:marLeft w:val="0"/>
      <w:marRight w:val="0"/>
      <w:marTop w:val="0"/>
      <w:marBottom w:val="0"/>
      <w:divBdr>
        <w:top w:val="none" w:sz="0" w:space="0" w:color="auto"/>
        <w:left w:val="none" w:sz="0" w:space="0" w:color="auto"/>
        <w:bottom w:val="none" w:sz="0" w:space="0" w:color="auto"/>
        <w:right w:val="none" w:sz="0" w:space="0" w:color="auto"/>
      </w:divBdr>
    </w:div>
    <w:div w:id="1186360506">
      <w:bodyDiv w:val="1"/>
      <w:marLeft w:val="0"/>
      <w:marRight w:val="0"/>
      <w:marTop w:val="0"/>
      <w:marBottom w:val="0"/>
      <w:divBdr>
        <w:top w:val="none" w:sz="0" w:space="0" w:color="auto"/>
        <w:left w:val="none" w:sz="0" w:space="0" w:color="auto"/>
        <w:bottom w:val="none" w:sz="0" w:space="0" w:color="auto"/>
        <w:right w:val="none" w:sz="0" w:space="0" w:color="auto"/>
      </w:divBdr>
    </w:div>
    <w:div w:id="1211191539">
      <w:bodyDiv w:val="1"/>
      <w:marLeft w:val="0"/>
      <w:marRight w:val="0"/>
      <w:marTop w:val="0"/>
      <w:marBottom w:val="0"/>
      <w:divBdr>
        <w:top w:val="none" w:sz="0" w:space="0" w:color="auto"/>
        <w:left w:val="none" w:sz="0" w:space="0" w:color="auto"/>
        <w:bottom w:val="none" w:sz="0" w:space="0" w:color="auto"/>
        <w:right w:val="none" w:sz="0" w:space="0" w:color="auto"/>
      </w:divBdr>
    </w:div>
    <w:div w:id="1218513071">
      <w:bodyDiv w:val="1"/>
      <w:marLeft w:val="0"/>
      <w:marRight w:val="0"/>
      <w:marTop w:val="0"/>
      <w:marBottom w:val="0"/>
      <w:divBdr>
        <w:top w:val="none" w:sz="0" w:space="0" w:color="auto"/>
        <w:left w:val="none" w:sz="0" w:space="0" w:color="auto"/>
        <w:bottom w:val="none" w:sz="0" w:space="0" w:color="auto"/>
        <w:right w:val="none" w:sz="0" w:space="0" w:color="auto"/>
      </w:divBdr>
    </w:div>
    <w:div w:id="1236282577">
      <w:bodyDiv w:val="1"/>
      <w:marLeft w:val="0"/>
      <w:marRight w:val="0"/>
      <w:marTop w:val="0"/>
      <w:marBottom w:val="0"/>
      <w:divBdr>
        <w:top w:val="none" w:sz="0" w:space="0" w:color="auto"/>
        <w:left w:val="none" w:sz="0" w:space="0" w:color="auto"/>
        <w:bottom w:val="none" w:sz="0" w:space="0" w:color="auto"/>
        <w:right w:val="none" w:sz="0" w:space="0" w:color="auto"/>
      </w:divBdr>
    </w:div>
    <w:div w:id="1275139764">
      <w:bodyDiv w:val="1"/>
      <w:marLeft w:val="0"/>
      <w:marRight w:val="0"/>
      <w:marTop w:val="0"/>
      <w:marBottom w:val="0"/>
      <w:divBdr>
        <w:top w:val="none" w:sz="0" w:space="0" w:color="auto"/>
        <w:left w:val="none" w:sz="0" w:space="0" w:color="auto"/>
        <w:bottom w:val="none" w:sz="0" w:space="0" w:color="auto"/>
        <w:right w:val="none" w:sz="0" w:space="0" w:color="auto"/>
      </w:divBdr>
    </w:div>
    <w:div w:id="1281499276">
      <w:bodyDiv w:val="1"/>
      <w:marLeft w:val="0"/>
      <w:marRight w:val="0"/>
      <w:marTop w:val="0"/>
      <w:marBottom w:val="0"/>
      <w:divBdr>
        <w:top w:val="none" w:sz="0" w:space="0" w:color="auto"/>
        <w:left w:val="none" w:sz="0" w:space="0" w:color="auto"/>
        <w:bottom w:val="none" w:sz="0" w:space="0" w:color="auto"/>
        <w:right w:val="none" w:sz="0" w:space="0" w:color="auto"/>
      </w:divBdr>
    </w:div>
    <w:div w:id="1320620604">
      <w:bodyDiv w:val="1"/>
      <w:marLeft w:val="0"/>
      <w:marRight w:val="0"/>
      <w:marTop w:val="0"/>
      <w:marBottom w:val="0"/>
      <w:divBdr>
        <w:top w:val="none" w:sz="0" w:space="0" w:color="auto"/>
        <w:left w:val="none" w:sz="0" w:space="0" w:color="auto"/>
        <w:bottom w:val="none" w:sz="0" w:space="0" w:color="auto"/>
        <w:right w:val="none" w:sz="0" w:space="0" w:color="auto"/>
      </w:divBdr>
    </w:div>
    <w:div w:id="1352149538">
      <w:bodyDiv w:val="1"/>
      <w:marLeft w:val="0"/>
      <w:marRight w:val="0"/>
      <w:marTop w:val="0"/>
      <w:marBottom w:val="0"/>
      <w:divBdr>
        <w:top w:val="none" w:sz="0" w:space="0" w:color="auto"/>
        <w:left w:val="none" w:sz="0" w:space="0" w:color="auto"/>
        <w:bottom w:val="none" w:sz="0" w:space="0" w:color="auto"/>
        <w:right w:val="none" w:sz="0" w:space="0" w:color="auto"/>
      </w:divBdr>
    </w:div>
    <w:div w:id="1362392348">
      <w:bodyDiv w:val="1"/>
      <w:marLeft w:val="0"/>
      <w:marRight w:val="0"/>
      <w:marTop w:val="0"/>
      <w:marBottom w:val="0"/>
      <w:divBdr>
        <w:top w:val="none" w:sz="0" w:space="0" w:color="auto"/>
        <w:left w:val="none" w:sz="0" w:space="0" w:color="auto"/>
        <w:bottom w:val="none" w:sz="0" w:space="0" w:color="auto"/>
        <w:right w:val="none" w:sz="0" w:space="0" w:color="auto"/>
      </w:divBdr>
    </w:div>
    <w:div w:id="1385566546">
      <w:bodyDiv w:val="1"/>
      <w:marLeft w:val="0"/>
      <w:marRight w:val="0"/>
      <w:marTop w:val="0"/>
      <w:marBottom w:val="0"/>
      <w:divBdr>
        <w:top w:val="none" w:sz="0" w:space="0" w:color="auto"/>
        <w:left w:val="none" w:sz="0" w:space="0" w:color="auto"/>
        <w:bottom w:val="none" w:sz="0" w:space="0" w:color="auto"/>
        <w:right w:val="none" w:sz="0" w:space="0" w:color="auto"/>
      </w:divBdr>
    </w:div>
    <w:div w:id="1474252449">
      <w:bodyDiv w:val="1"/>
      <w:marLeft w:val="0"/>
      <w:marRight w:val="0"/>
      <w:marTop w:val="0"/>
      <w:marBottom w:val="0"/>
      <w:divBdr>
        <w:top w:val="none" w:sz="0" w:space="0" w:color="auto"/>
        <w:left w:val="none" w:sz="0" w:space="0" w:color="auto"/>
        <w:bottom w:val="none" w:sz="0" w:space="0" w:color="auto"/>
        <w:right w:val="none" w:sz="0" w:space="0" w:color="auto"/>
      </w:divBdr>
    </w:div>
    <w:div w:id="1506750172">
      <w:bodyDiv w:val="1"/>
      <w:marLeft w:val="0"/>
      <w:marRight w:val="0"/>
      <w:marTop w:val="0"/>
      <w:marBottom w:val="0"/>
      <w:divBdr>
        <w:top w:val="none" w:sz="0" w:space="0" w:color="auto"/>
        <w:left w:val="none" w:sz="0" w:space="0" w:color="auto"/>
        <w:bottom w:val="none" w:sz="0" w:space="0" w:color="auto"/>
        <w:right w:val="none" w:sz="0" w:space="0" w:color="auto"/>
      </w:divBdr>
    </w:div>
    <w:div w:id="1513300331">
      <w:bodyDiv w:val="1"/>
      <w:marLeft w:val="0"/>
      <w:marRight w:val="0"/>
      <w:marTop w:val="0"/>
      <w:marBottom w:val="0"/>
      <w:divBdr>
        <w:top w:val="none" w:sz="0" w:space="0" w:color="auto"/>
        <w:left w:val="none" w:sz="0" w:space="0" w:color="auto"/>
        <w:bottom w:val="none" w:sz="0" w:space="0" w:color="auto"/>
        <w:right w:val="none" w:sz="0" w:space="0" w:color="auto"/>
      </w:divBdr>
    </w:div>
    <w:div w:id="1519929423">
      <w:bodyDiv w:val="1"/>
      <w:marLeft w:val="0"/>
      <w:marRight w:val="0"/>
      <w:marTop w:val="0"/>
      <w:marBottom w:val="0"/>
      <w:divBdr>
        <w:top w:val="none" w:sz="0" w:space="0" w:color="auto"/>
        <w:left w:val="none" w:sz="0" w:space="0" w:color="auto"/>
        <w:bottom w:val="none" w:sz="0" w:space="0" w:color="auto"/>
        <w:right w:val="none" w:sz="0" w:space="0" w:color="auto"/>
      </w:divBdr>
    </w:div>
    <w:div w:id="1542791315">
      <w:bodyDiv w:val="1"/>
      <w:marLeft w:val="0"/>
      <w:marRight w:val="0"/>
      <w:marTop w:val="0"/>
      <w:marBottom w:val="0"/>
      <w:divBdr>
        <w:top w:val="none" w:sz="0" w:space="0" w:color="auto"/>
        <w:left w:val="none" w:sz="0" w:space="0" w:color="auto"/>
        <w:bottom w:val="none" w:sz="0" w:space="0" w:color="auto"/>
        <w:right w:val="none" w:sz="0" w:space="0" w:color="auto"/>
      </w:divBdr>
    </w:div>
    <w:div w:id="1553079291">
      <w:bodyDiv w:val="1"/>
      <w:marLeft w:val="0"/>
      <w:marRight w:val="0"/>
      <w:marTop w:val="0"/>
      <w:marBottom w:val="0"/>
      <w:divBdr>
        <w:top w:val="none" w:sz="0" w:space="0" w:color="auto"/>
        <w:left w:val="none" w:sz="0" w:space="0" w:color="auto"/>
        <w:bottom w:val="none" w:sz="0" w:space="0" w:color="auto"/>
        <w:right w:val="none" w:sz="0" w:space="0" w:color="auto"/>
      </w:divBdr>
    </w:div>
    <w:div w:id="1559632724">
      <w:bodyDiv w:val="1"/>
      <w:marLeft w:val="0"/>
      <w:marRight w:val="0"/>
      <w:marTop w:val="0"/>
      <w:marBottom w:val="0"/>
      <w:divBdr>
        <w:top w:val="none" w:sz="0" w:space="0" w:color="auto"/>
        <w:left w:val="none" w:sz="0" w:space="0" w:color="auto"/>
        <w:bottom w:val="none" w:sz="0" w:space="0" w:color="auto"/>
        <w:right w:val="none" w:sz="0" w:space="0" w:color="auto"/>
      </w:divBdr>
    </w:div>
    <w:div w:id="1568609571">
      <w:bodyDiv w:val="1"/>
      <w:marLeft w:val="0"/>
      <w:marRight w:val="0"/>
      <w:marTop w:val="0"/>
      <w:marBottom w:val="0"/>
      <w:divBdr>
        <w:top w:val="none" w:sz="0" w:space="0" w:color="auto"/>
        <w:left w:val="none" w:sz="0" w:space="0" w:color="auto"/>
        <w:bottom w:val="none" w:sz="0" w:space="0" w:color="auto"/>
        <w:right w:val="none" w:sz="0" w:space="0" w:color="auto"/>
      </w:divBdr>
    </w:div>
    <w:div w:id="1569458275">
      <w:bodyDiv w:val="1"/>
      <w:marLeft w:val="0"/>
      <w:marRight w:val="0"/>
      <w:marTop w:val="0"/>
      <w:marBottom w:val="0"/>
      <w:divBdr>
        <w:top w:val="none" w:sz="0" w:space="0" w:color="auto"/>
        <w:left w:val="none" w:sz="0" w:space="0" w:color="auto"/>
        <w:bottom w:val="none" w:sz="0" w:space="0" w:color="auto"/>
        <w:right w:val="none" w:sz="0" w:space="0" w:color="auto"/>
      </w:divBdr>
    </w:div>
    <w:div w:id="1571697054">
      <w:bodyDiv w:val="1"/>
      <w:marLeft w:val="0"/>
      <w:marRight w:val="0"/>
      <w:marTop w:val="0"/>
      <w:marBottom w:val="0"/>
      <w:divBdr>
        <w:top w:val="none" w:sz="0" w:space="0" w:color="auto"/>
        <w:left w:val="none" w:sz="0" w:space="0" w:color="auto"/>
        <w:bottom w:val="none" w:sz="0" w:space="0" w:color="auto"/>
        <w:right w:val="none" w:sz="0" w:space="0" w:color="auto"/>
      </w:divBdr>
    </w:div>
    <w:div w:id="1585258595">
      <w:bodyDiv w:val="1"/>
      <w:marLeft w:val="0"/>
      <w:marRight w:val="0"/>
      <w:marTop w:val="0"/>
      <w:marBottom w:val="0"/>
      <w:divBdr>
        <w:top w:val="none" w:sz="0" w:space="0" w:color="auto"/>
        <w:left w:val="none" w:sz="0" w:space="0" w:color="auto"/>
        <w:bottom w:val="none" w:sz="0" w:space="0" w:color="auto"/>
        <w:right w:val="none" w:sz="0" w:space="0" w:color="auto"/>
      </w:divBdr>
    </w:div>
    <w:div w:id="1619683705">
      <w:bodyDiv w:val="1"/>
      <w:marLeft w:val="0"/>
      <w:marRight w:val="0"/>
      <w:marTop w:val="0"/>
      <w:marBottom w:val="0"/>
      <w:divBdr>
        <w:top w:val="none" w:sz="0" w:space="0" w:color="auto"/>
        <w:left w:val="none" w:sz="0" w:space="0" w:color="auto"/>
        <w:bottom w:val="none" w:sz="0" w:space="0" w:color="auto"/>
        <w:right w:val="none" w:sz="0" w:space="0" w:color="auto"/>
      </w:divBdr>
    </w:div>
    <w:div w:id="1679312212">
      <w:bodyDiv w:val="1"/>
      <w:marLeft w:val="0"/>
      <w:marRight w:val="0"/>
      <w:marTop w:val="0"/>
      <w:marBottom w:val="0"/>
      <w:divBdr>
        <w:top w:val="none" w:sz="0" w:space="0" w:color="auto"/>
        <w:left w:val="none" w:sz="0" w:space="0" w:color="auto"/>
        <w:bottom w:val="none" w:sz="0" w:space="0" w:color="auto"/>
        <w:right w:val="none" w:sz="0" w:space="0" w:color="auto"/>
      </w:divBdr>
    </w:div>
    <w:div w:id="1686205736">
      <w:bodyDiv w:val="1"/>
      <w:marLeft w:val="0"/>
      <w:marRight w:val="0"/>
      <w:marTop w:val="0"/>
      <w:marBottom w:val="0"/>
      <w:divBdr>
        <w:top w:val="none" w:sz="0" w:space="0" w:color="auto"/>
        <w:left w:val="none" w:sz="0" w:space="0" w:color="auto"/>
        <w:bottom w:val="none" w:sz="0" w:space="0" w:color="auto"/>
        <w:right w:val="none" w:sz="0" w:space="0" w:color="auto"/>
      </w:divBdr>
    </w:div>
    <w:div w:id="1745642825">
      <w:bodyDiv w:val="1"/>
      <w:marLeft w:val="0"/>
      <w:marRight w:val="0"/>
      <w:marTop w:val="0"/>
      <w:marBottom w:val="0"/>
      <w:divBdr>
        <w:top w:val="none" w:sz="0" w:space="0" w:color="auto"/>
        <w:left w:val="none" w:sz="0" w:space="0" w:color="auto"/>
        <w:bottom w:val="none" w:sz="0" w:space="0" w:color="auto"/>
        <w:right w:val="none" w:sz="0" w:space="0" w:color="auto"/>
      </w:divBdr>
    </w:div>
    <w:div w:id="1765422788">
      <w:bodyDiv w:val="1"/>
      <w:marLeft w:val="0"/>
      <w:marRight w:val="0"/>
      <w:marTop w:val="0"/>
      <w:marBottom w:val="0"/>
      <w:divBdr>
        <w:top w:val="none" w:sz="0" w:space="0" w:color="auto"/>
        <w:left w:val="none" w:sz="0" w:space="0" w:color="auto"/>
        <w:bottom w:val="none" w:sz="0" w:space="0" w:color="auto"/>
        <w:right w:val="none" w:sz="0" w:space="0" w:color="auto"/>
      </w:divBdr>
    </w:div>
    <w:div w:id="1766152124">
      <w:bodyDiv w:val="1"/>
      <w:marLeft w:val="0"/>
      <w:marRight w:val="0"/>
      <w:marTop w:val="0"/>
      <w:marBottom w:val="0"/>
      <w:divBdr>
        <w:top w:val="none" w:sz="0" w:space="0" w:color="auto"/>
        <w:left w:val="none" w:sz="0" w:space="0" w:color="auto"/>
        <w:bottom w:val="none" w:sz="0" w:space="0" w:color="auto"/>
        <w:right w:val="none" w:sz="0" w:space="0" w:color="auto"/>
      </w:divBdr>
    </w:div>
    <w:div w:id="1924601595">
      <w:bodyDiv w:val="1"/>
      <w:marLeft w:val="0"/>
      <w:marRight w:val="0"/>
      <w:marTop w:val="0"/>
      <w:marBottom w:val="0"/>
      <w:divBdr>
        <w:top w:val="none" w:sz="0" w:space="0" w:color="auto"/>
        <w:left w:val="none" w:sz="0" w:space="0" w:color="auto"/>
        <w:bottom w:val="none" w:sz="0" w:space="0" w:color="auto"/>
        <w:right w:val="none" w:sz="0" w:space="0" w:color="auto"/>
      </w:divBdr>
    </w:div>
    <w:div w:id="1945649079">
      <w:bodyDiv w:val="1"/>
      <w:marLeft w:val="0"/>
      <w:marRight w:val="0"/>
      <w:marTop w:val="0"/>
      <w:marBottom w:val="0"/>
      <w:divBdr>
        <w:top w:val="none" w:sz="0" w:space="0" w:color="auto"/>
        <w:left w:val="none" w:sz="0" w:space="0" w:color="auto"/>
        <w:bottom w:val="none" w:sz="0" w:space="0" w:color="auto"/>
        <w:right w:val="none" w:sz="0" w:space="0" w:color="auto"/>
      </w:divBdr>
    </w:div>
    <w:div w:id="1981113560">
      <w:bodyDiv w:val="1"/>
      <w:marLeft w:val="0"/>
      <w:marRight w:val="0"/>
      <w:marTop w:val="0"/>
      <w:marBottom w:val="0"/>
      <w:divBdr>
        <w:top w:val="none" w:sz="0" w:space="0" w:color="auto"/>
        <w:left w:val="none" w:sz="0" w:space="0" w:color="auto"/>
        <w:bottom w:val="none" w:sz="0" w:space="0" w:color="auto"/>
        <w:right w:val="none" w:sz="0" w:space="0" w:color="auto"/>
      </w:divBdr>
    </w:div>
    <w:div w:id="2046445747">
      <w:bodyDiv w:val="1"/>
      <w:marLeft w:val="0"/>
      <w:marRight w:val="0"/>
      <w:marTop w:val="0"/>
      <w:marBottom w:val="0"/>
      <w:divBdr>
        <w:top w:val="none" w:sz="0" w:space="0" w:color="auto"/>
        <w:left w:val="none" w:sz="0" w:space="0" w:color="auto"/>
        <w:bottom w:val="none" w:sz="0" w:space="0" w:color="auto"/>
        <w:right w:val="none" w:sz="0" w:space="0" w:color="auto"/>
      </w:divBdr>
    </w:div>
    <w:div w:id="2133396079">
      <w:bodyDiv w:val="1"/>
      <w:marLeft w:val="0"/>
      <w:marRight w:val="0"/>
      <w:marTop w:val="0"/>
      <w:marBottom w:val="0"/>
      <w:divBdr>
        <w:top w:val="none" w:sz="0" w:space="0" w:color="auto"/>
        <w:left w:val="none" w:sz="0" w:space="0" w:color="auto"/>
        <w:bottom w:val="none" w:sz="0" w:space="0" w:color="auto"/>
        <w:right w:val="none" w:sz="0" w:space="0" w:color="auto"/>
      </w:divBdr>
    </w:div>
    <w:div w:id="21362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rade.ciric\Dropbox\Makro%20sektor\1.%20Baze%20makro\BDP\Projekcija\6.%20BDP%20(dynamic%20fan%20char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vladimir.malbasic\Dropbox\Makro%20sektor\2.%20F%20%20I%20%20S%20%20K%20%20A%20%20L\Budzeti%20obrazlozenja%20i%20excel%20fajlovi\4.%20bud&#382;et%202025\budzet%202025%20prihodi%20tabel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ladimir.malbasic\Dropbox\Makro%20sektor\2.%20F%20%20I%20%20S%20%20K%20%20A%20%20L\Budzeti%20obrazlozenja%20i%20excel%20fajlovi\4.%20bud&#382;et%202025\budzet%202025%20prihodi%20tabel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747594050743658E-2"/>
          <c:y val="7.0490227491188717E-2"/>
          <c:w val="0.92936351706036746"/>
          <c:h val="0.74155668862443136"/>
        </c:manualLayout>
      </c:layout>
      <c:areaChart>
        <c:grouping val="stacked"/>
        <c:varyColors val="0"/>
        <c:ser>
          <c:idx val="0"/>
          <c:order val="0"/>
          <c:tx>
            <c:strRef>
              <c:f>'Quarterly GDP chart fan'!$AE$16</c:f>
              <c:strCache>
                <c:ptCount val="1"/>
                <c:pt idx="0">
                  <c:v>Baza</c:v>
                </c:pt>
              </c:strCache>
            </c:strRef>
          </c:tx>
          <c:spPr>
            <a:noFill/>
            <a:ln>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fan'!$AE$17:$AE$30</c:f>
              <c:numCache>
                <c:formatCode>0.00</c:formatCode>
                <c:ptCount val="4"/>
                <c:pt idx="0">
                  <c:v>4.5578956541714604</c:v>
                </c:pt>
                <c:pt idx="1">
                  <c:v>4.0161015208804827</c:v>
                </c:pt>
                <c:pt idx="2">
                  <c:v>2.3000000000000007</c:v>
                </c:pt>
                <c:pt idx="3">
                  <c:v>2.7</c:v>
                </c:pt>
              </c:numCache>
              <c:extLst/>
            </c:numRef>
          </c:val>
          <c:extLst>
            <c:ext xmlns:c16="http://schemas.microsoft.com/office/drawing/2014/chart" uri="{C3380CC4-5D6E-409C-BE32-E72D297353CC}">
              <c16:uniqueId val="{00000000-1B0F-486D-9D84-E49211656CDB}"/>
            </c:ext>
          </c:extLst>
        </c:ser>
        <c:ser>
          <c:idx val="1"/>
          <c:order val="1"/>
          <c:tx>
            <c:strRef>
              <c:f>'Quarterly GDP chart fan'!$AF$16</c:f>
              <c:strCache>
                <c:ptCount val="1"/>
                <c:pt idx="0">
                  <c:v>Lower 10</c:v>
                </c:pt>
              </c:strCache>
            </c:strRef>
          </c:tx>
          <c:spPr>
            <a:solidFill>
              <a:srgbClr val="C00000">
                <a:alpha val="1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fan'!$AF$17:$AF$30</c:f>
              <c:numCache>
                <c:formatCode>0.0000</c:formatCode>
                <c:ptCount val="4"/>
                <c:pt idx="0">
                  <c:v>0</c:v>
                </c:pt>
                <c:pt idx="1">
                  <c:v>0</c:v>
                </c:pt>
                <c:pt idx="2">
                  <c:v>0.12727272727272743</c:v>
                </c:pt>
                <c:pt idx="3">
                  <c:v>0.1454545454545455</c:v>
                </c:pt>
              </c:numCache>
              <c:extLst/>
            </c:numRef>
          </c:val>
          <c:extLst>
            <c:ext xmlns:c16="http://schemas.microsoft.com/office/drawing/2014/chart" uri="{C3380CC4-5D6E-409C-BE32-E72D297353CC}">
              <c16:uniqueId val="{00000001-1B0F-486D-9D84-E49211656CDB}"/>
            </c:ext>
          </c:extLst>
        </c:ser>
        <c:ser>
          <c:idx val="2"/>
          <c:order val="2"/>
          <c:tx>
            <c:strRef>
              <c:f>'Quarterly GDP chart fan'!$AG$16</c:f>
              <c:strCache>
                <c:ptCount val="1"/>
                <c:pt idx="0">
                  <c:v>Lower 9</c:v>
                </c:pt>
              </c:strCache>
            </c:strRef>
          </c:tx>
          <c:spPr>
            <a:solidFill>
              <a:srgbClr val="C00000">
                <a:alpha val="2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fan'!$AG$17:$AG$30</c:f>
              <c:numCache>
                <c:formatCode>0.0000</c:formatCode>
                <c:ptCount val="4"/>
                <c:pt idx="0">
                  <c:v>0</c:v>
                </c:pt>
                <c:pt idx="1">
                  <c:v>0</c:v>
                </c:pt>
                <c:pt idx="2">
                  <c:v>0.11454545454545473</c:v>
                </c:pt>
                <c:pt idx="3">
                  <c:v>0.13090909090909086</c:v>
                </c:pt>
              </c:numCache>
              <c:extLst/>
            </c:numRef>
          </c:val>
          <c:extLst>
            <c:ext xmlns:c16="http://schemas.microsoft.com/office/drawing/2014/chart" uri="{C3380CC4-5D6E-409C-BE32-E72D297353CC}">
              <c16:uniqueId val="{00000002-1B0F-486D-9D84-E49211656CDB}"/>
            </c:ext>
          </c:extLst>
        </c:ser>
        <c:ser>
          <c:idx val="3"/>
          <c:order val="3"/>
          <c:tx>
            <c:strRef>
              <c:f>'Quarterly GDP chart fan'!$AH$16</c:f>
              <c:strCache>
                <c:ptCount val="1"/>
                <c:pt idx="0">
                  <c:v>Lower 8</c:v>
                </c:pt>
              </c:strCache>
            </c:strRef>
          </c:tx>
          <c:spPr>
            <a:solidFill>
              <a:srgbClr val="C00000">
                <a:alpha val="3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fan'!$AH$17:$AH$30</c:f>
              <c:numCache>
                <c:formatCode>0.0000</c:formatCode>
                <c:ptCount val="4"/>
                <c:pt idx="0">
                  <c:v>0</c:v>
                </c:pt>
                <c:pt idx="1">
                  <c:v>0</c:v>
                </c:pt>
                <c:pt idx="2">
                  <c:v>0.10181818181818159</c:v>
                </c:pt>
                <c:pt idx="3">
                  <c:v>0.11636363636363622</c:v>
                </c:pt>
              </c:numCache>
              <c:extLst/>
            </c:numRef>
          </c:val>
          <c:extLst>
            <c:ext xmlns:c16="http://schemas.microsoft.com/office/drawing/2014/chart" uri="{C3380CC4-5D6E-409C-BE32-E72D297353CC}">
              <c16:uniqueId val="{00000003-1B0F-486D-9D84-E49211656CDB}"/>
            </c:ext>
          </c:extLst>
        </c:ser>
        <c:ser>
          <c:idx val="4"/>
          <c:order val="4"/>
          <c:tx>
            <c:strRef>
              <c:f>'Quarterly GDP chart fan'!$AI$16</c:f>
              <c:strCache>
                <c:ptCount val="1"/>
                <c:pt idx="0">
                  <c:v>Lower 7</c:v>
                </c:pt>
              </c:strCache>
            </c:strRef>
          </c:tx>
          <c:spPr>
            <a:solidFill>
              <a:srgbClr val="C00000">
                <a:alpha val="4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fan'!$AI$17:$AI$30</c:f>
              <c:numCache>
                <c:formatCode>0.0000</c:formatCode>
                <c:ptCount val="4"/>
                <c:pt idx="0">
                  <c:v>0</c:v>
                </c:pt>
                <c:pt idx="1">
                  <c:v>0</c:v>
                </c:pt>
                <c:pt idx="2">
                  <c:v>8.9090909090908887E-2</c:v>
                </c:pt>
                <c:pt idx="3">
                  <c:v>0.10181818181818159</c:v>
                </c:pt>
              </c:numCache>
              <c:extLst/>
            </c:numRef>
          </c:val>
          <c:extLst>
            <c:ext xmlns:c16="http://schemas.microsoft.com/office/drawing/2014/chart" uri="{C3380CC4-5D6E-409C-BE32-E72D297353CC}">
              <c16:uniqueId val="{00000004-1B0F-486D-9D84-E49211656CDB}"/>
            </c:ext>
          </c:extLst>
        </c:ser>
        <c:ser>
          <c:idx val="5"/>
          <c:order val="5"/>
          <c:tx>
            <c:strRef>
              <c:f>'Quarterly GDP chart fan'!$AJ$16</c:f>
              <c:strCache>
                <c:ptCount val="1"/>
                <c:pt idx="0">
                  <c:v>Lower 6</c:v>
                </c:pt>
              </c:strCache>
            </c:strRef>
          </c:tx>
          <c:spPr>
            <a:solidFill>
              <a:srgbClr val="C00000">
                <a:alpha val="5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fan'!$AJ$17:$AJ$30</c:f>
              <c:numCache>
                <c:formatCode>0.0000</c:formatCode>
                <c:ptCount val="4"/>
                <c:pt idx="0">
                  <c:v>0</c:v>
                </c:pt>
                <c:pt idx="1">
                  <c:v>0</c:v>
                </c:pt>
                <c:pt idx="2">
                  <c:v>7.6363636363636189E-2</c:v>
                </c:pt>
                <c:pt idx="3">
                  <c:v>8.7272727272727391E-2</c:v>
                </c:pt>
              </c:numCache>
              <c:extLst/>
            </c:numRef>
          </c:val>
          <c:extLst>
            <c:ext xmlns:c16="http://schemas.microsoft.com/office/drawing/2014/chart" uri="{C3380CC4-5D6E-409C-BE32-E72D297353CC}">
              <c16:uniqueId val="{00000005-1B0F-486D-9D84-E49211656CDB}"/>
            </c:ext>
          </c:extLst>
        </c:ser>
        <c:ser>
          <c:idx val="6"/>
          <c:order val="6"/>
          <c:tx>
            <c:strRef>
              <c:f>'Quarterly GDP chart fan'!$AK$16</c:f>
              <c:strCache>
                <c:ptCount val="1"/>
                <c:pt idx="0">
                  <c:v>Lower 5</c:v>
                </c:pt>
              </c:strCache>
            </c:strRef>
          </c:tx>
          <c:spPr>
            <a:solidFill>
              <a:srgbClr val="C00000">
                <a:alpha val="6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fan'!$AK$17:$AK$30</c:f>
              <c:numCache>
                <c:formatCode>0.0000</c:formatCode>
                <c:ptCount val="4"/>
                <c:pt idx="0">
                  <c:v>0</c:v>
                </c:pt>
                <c:pt idx="1">
                  <c:v>0</c:v>
                </c:pt>
                <c:pt idx="2">
                  <c:v>6.3636363636363491E-2</c:v>
                </c:pt>
                <c:pt idx="3">
                  <c:v>7.2727272727272751E-2</c:v>
                </c:pt>
              </c:numCache>
              <c:extLst/>
            </c:numRef>
          </c:val>
          <c:extLst>
            <c:ext xmlns:c16="http://schemas.microsoft.com/office/drawing/2014/chart" uri="{C3380CC4-5D6E-409C-BE32-E72D297353CC}">
              <c16:uniqueId val="{00000006-1B0F-486D-9D84-E49211656CDB}"/>
            </c:ext>
          </c:extLst>
        </c:ser>
        <c:ser>
          <c:idx val="7"/>
          <c:order val="7"/>
          <c:tx>
            <c:strRef>
              <c:f>'Quarterly GDP chart fan'!$AL$16</c:f>
              <c:strCache>
                <c:ptCount val="1"/>
                <c:pt idx="0">
                  <c:v>Lower 4</c:v>
                </c:pt>
              </c:strCache>
            </c:strRef>
          </c:tx>
          <c:spPr>
            <a:solidFill>
              <a:srgbClr val="C00000">
                <a:alpha val="7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fan'!$AL$17:$AL$30</c:f>
              <c:numCache>
                <c:formatCode>0.0000</c:formatCode>
                <c:ptCount val="4"/>
                <c:pt idx="0">
                  <c:v>0</c:v>
                </c:pt>
                <c:pt idx="1">
                  <c:v>0</c:v>
                </c:pt>
                <c:pt idx="2">
                  <c:v>5.0909090909090793E-2</c:v>
                </c:pt>
                <c:pt idx="3">
                  <c:v>5.8181818181818112E-2</c:v>
                </c:pt>
              </c:numCache>
              <c:extLst/>
            </c:numRef>
          </c:val>
          <c:extLst>
            <c:ext xmlns:c16="http://schemas.microsoft.com/office/drawing/2014/chart" uri="{C3380CC4-5D6E-409C-BE32-E72D297353CC}">
              <c16:uniqueId val="{00000007-1B0F-486D-9D84-E49211656CDB}"/>
            </c:ext>
          </c:extLst>
        </c:ser>
        <c:ser>
          <c:idx val="8"/>
          <c:order val="8"/>
          <c:tx>
            <c:strRef>
              <c:f>'Quarterly GDP chart fan'!$AM$16</c:f>
              <c:strCache>
                <c:ptCount val="1"/>
                <c:pt idx="0">
                  <c:v>Lower 3</c:v>
                </c:pt>
              </c:strCache>
            </c:strRef>
          </c:tx>
          <c:spPr>
            <a:solidFill>
              <a:srgbClr val="C00000">
                <a:alpha val="8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fan'!$AM$17:$AM$30</c:f>
              <c:numCache>
                <c:formatCode>0.0000</c:formatCode>
                <c:ptCount val="4"/>
                <c:pt idx="0">
                  <c:v>0</c:v>
                </c:pt>
                <c:pt idx="1">
                  <c:v>0</c:v>
                </c:pt>
                <c:pt idx="2">
                  <c:v>3.8181818181818095E-2</c:v>
                </c:pt>
                <c:pt idx="3">
                  <c:v>4.3636363636363473E-2</c:v>
                </c:pt>
              </c:numCache>
              <c:extLst/>
            </c:numRef>
          </c:val>
          <c:extLst>
            <c:ext xmlns:c16="http://schemas.microsoft.com/office/drawing/2014/chart" uri="{C3380CC4-5D6E-409C-BE32-E72D297353CC}">
              <c16:uniqueId val="{00000008-1B0F-486D-9D84-E49211656CDB}"/>
            </c:ext>
          </c:extLst>
        </c:ser>
        <c:ser>
          <c:idx val="9"/>
          <c:order val="9"/>
          <c:tx>
            <c:strRef>
              <c:f>'Quarterly GDP chart fan'!$AN$16</c:f>
              <c:strCache>
                <c:ptCount val="1"/>
                <c:pt idx="0">
                  <c:v>Lower 2</c:v>
                </c:pt>
              </c:strCache>
            </c:strRef>
          </c:tx>
          <c:spPr>
            <a:solidFill>
              <a:srgbClr val="C00000">
                <a:alpha val="9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fan'!$AN$17:$AN$30</c:f>
              <c:numCache>
                <c:formatCode>0.0000</c:formatCode>
                <c:ptCount val="4"/>
                <c:pt idx="0">
                  <c:v>0</c:v>
                </c:pt>
                <c:pt idx="1">
                  <c:v>0</c:v>
                </c:pt>
                <c:pt idx="2">
                  <c:v>2.5454545454545396E-2</c:v>
                </c:pt>
                <c:pt idx="3">
                  <c:v>2.9090909090909278E-2</c:v>
                </c:pt>
              </c:numCache>
              <c:extLst/>
            </c:numRef>
          </c:val>
          <c:extLst>
            <c:ext xmlns:c16="http://schemas.microsoft.com/office/drawing/2014/chart" uri="{C3380CC4-5D6E-409C-BE32-E72D297353CC}">
              <c16:uniqueId val="{00000009-1B0F-486D-9D84-E49211656CDB}"/>
            </c:ext>
          </c:extLst>
        </c:ser>
        <c:ser>
          <c:idx val="10"/>
          <c:order val="10"/>
          <c:tx>
            <c:strRef>
              <c:f>'Quarterly GDP chart fan'!$AO$16</c:f>
              <c:strCache>
                <c:ptCount val="1"/>
                <c:pt idx="0">
                  <c:v>Lower 1</c:v>
                </c:pt>
              </c:strCache>
            </c:strRef>
          </c:tx>
          <c:spPr>
            <a:solidFill>
              <a:srgbClr val="C00000"/>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fan'!$AO$17:$AO$30</c:f>
              <c:numCache>
                <c:formatCode>0.0000</c:formatCode>
                <c:ptCount val="4"/>
                <c:pt idx="0">
                  <c:v>0</c:v>
                </c:pt>
                <c:pt idx="1">
                  <c:v>0</c:v>
                </c:pt>
                <c:pt idx="2">
                  <c:v>1.2727272727272698E-2</c:v>
                </c:pt>
                <c:pt idx="3">
                  <c:v>1.4545454545454639E-2</c:v>
                </c:pt>
              </c:numCache>
              <c:extLst/>
            </c:numRef>
          </c:val>
          <c:extLst>
            <c:ext xmlns:c16="http://schemas.microsoft.com/office/drawing/2014/chart" uri="{C3380CC4-5D6E-409C-BE32-E72D297353CC}">
              <c16:uniqueId val="{0000000A-1B0F-486D-9D84-E49211656CDB}"/>
            </c:ext>
          </c:extLst>
        </c:ser>
        <c:ser>
          <c:idx val="11"/>
          <c:order val="11"/>
          <c:tx>
            <c:strRef>
              <c:f>'Quarterly GDP chart fan'!$AP$16</c:f>
              <c:strCache>
                <c:ptCount val="1"/>
                <c:pt idx="0">
                  <c:v>Upper 1</c:v>
                </c:pt>
              </c:strCache>
            </c:strRef>
          </c:tx>
          <c:spPr>
            <a:solidFill>
              <a:srgbClr val="C00000"/>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fan'!$AP$17:$AP$30</c:f>
              <c:numCache>
                <c:formatCode>0.0000</c:formatCode>
                <c:ptCount val="4"/>
                <c:pt idx="0">
                  <c:v>0</c:v>
                </c:pt>
                <c:pt idx="1">
                  <c:v>0</c:v>
                </c:pt>
                <c:pt idx="2">
                  <c:v>1.2727272727272698E-2</c:v>
                </c:pt>
                <c:pt idx="3">
                  <c:v>1.4545454545454639E-2</c:v>
                </c:pt>
              </c:numCache>
              <c:extLst/>
            </c:numRef>
          </c:val>
          <c:extLst>
            <c:ext xmlns:c16="http://schemas.microsoft.com/office/drawing/2014/chart" uri="{C3380CC4-5D6E-409C-BE32-E72D297353CC}">
              <c16:uniqueId val="{0000000B-1B0F-486D-9D84-E49211656CDB}"/>
            </c:ext>
          </c:extLst>
        </c:ser>
        <c:ser>
          <c:idx val="12"/>
          <c:order val="12"/>
          <c:tx>
            <c:strRef>
              <c:f>'Quarterly GDP chart fan'!$AQ$16</c:f>
              <c:strCache>
                <c:ptCount val="1"/>
                <c:pt idx="0">
                  <c:v>Upper 2</c:v>
                </c:pt>
              </c:strCache>
            </c:strRef>
          </c:tx>
          <c:spPr>
            <a:solidFill>
              <a:srgbClr val="C00000">
                <a:alpha val="9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fan'!$AQ$17:$AQ$30</c:f>
              <c:numCache>
                <c:formatCode>0.0000</c:formatCode>
                <c:ptCount val="4"/>
                <c:pt idx="0">
                  <c:v>0</c:v>
                </c:pt>
                <c:pt idx="1">
                  <c:v>0</c:v>
                </c:pt>
                <c:pt idx="2">
                  <c:v>2.5454545454545396E-2</c:v>
                </c:pt>
                <c:pt idx="3">
                  <c:v>2.9090909090909278E-2</c:v>
                </c:pt>
              </c:numCache>
              <c:extLst/>
            </c:numRef>
          </c:val>
          <c:extLst>
            <c:ext xmlns:c16="http://schemas.microsoft.com/office/drawing/2014/chart" uri="{C3380CC4-5D6E-409C-BE32-E72D297353CC}">
              <c16:uniqueId val="{0000000C-1B0F-486D-9D84-E49211656CDB}"/>
            </c:ext>
          </c:extLst>
        </c:ser>
        <c:ser>
          <c:idx val="13"/>
          <c:order val="13"/>
          <c:tx>
            <c:strRef>
              <c:f>'Quarterly GDP chart fan'!$AR$16</c:f>
              <c:strCache>
                <c:ptCount val="1"/>
                <c:pt idx="0">
                  <c:v>Upper 3</c:v>
                </c:pt>
              </c:strCache>
            </c:strRef>
          </c:tx>
          <c:spPr>
            <a:solidFill>
              <a:srgbClr val="C00000">
                <a:alpha val="8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fan'!$AR$17:$AR$30</c:f>
              <c:numCache>
                <c:formatCode>0.0000</c:formatCode>
                <c:ptCount val="4"/>
                <c:pt idx="0">
                  <c:v>0</c:v>
                </c:pt>
                <c:pt idx="1">
                  <c:v>0</c:v>
                </c:pt>
                <c:pt idx="2">
                  <c:v>3.8181818181818095E-2</c:v>
                </c:pt>
                <c:pt idx="3">
                  <c:v>4.3636363636363473E-2</c:v>
                </c:pt>
              </c:numCache>
              <c:extLst/>
            </c:numRef>
          </c:val>
          <c:extLst>
            <c:ext xmlns:c16="http://schemas.microsoft.com/office/drawing/2014/chart" uri="{C3380CC4-5D6E-409C-BE32-E72D297353CC}">
              <c16:uniqueId val="{0000000D-1B0F-486D-9D84-E49211656CDB}"/>
            </c:ext>
          </c:extLst>
        </c:ser>
        <c:ser>
          <c:idx val="14"/>
          <c:order val="14"/>
          <c:tx>
            <c:strRef>
              <c:f>'Quarterly GDP chart fan'!$AS$16</c:f>
              <c:strCache>
                <c:ptCount val="1"/>
                <c:pt idx="0">
                  <c:v>Upper 4</c:v>
                </c:pt>
              </c:strCache>
            </c:strRef>
          </c:tx>
          <c:spPr>
            <a:solidFill>
              <a:srgbClr val="C00000">
                <a:alpha val="7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fan'!$AS$17:$AS$30</c:f>
              <c:numCache>
                <c:formatCode>0.0000</c:formatCode>
                <c:ptCount val="4"/>
                <c:pt idx="0">
                  <c:v>0</c:v>
                </c:pt>
                <c:pt idx="1">
                  <c:v>0</c:v>
                </c:pt>
                <c:pt idx="2">
                  <c:v>5.0909090909090793E-2</c:v>
                </c:pt>
                <c:pt idx="3">
                  <c:v>5.8181818181818112E-2</c:v>
                </c:pt>
              </c:numCache>
              <c:extLst/>
            </c:numRef>
          </c:val>
          <c:extLst>
            <c:ext xmlns:c16="http://schemas.microsoft.com/office/drawing/2014/chart" uri="{C3380CC4-5D6E-409C-BE32-E72D297353CC}">
              <c16:uniqueId val="{0000000E-1B0F-486D-9D84-E49211656CDB}"/>
            </c:ext>
          </c:extLst>
        </c:ser>
        <c:ser>
          <c:idx val="15"/>
          <c:order val="15"/>
          <c:tx>
            <c:strRef>
              <c:f>'Quarterly GDP chart fan'!$AT$16</c:f>
              <c:strCache>
                <c:ptCount val="1"/>
                <c:pt idx="0">
                  <c:v>Upper 5</c:v>
                </c:pt>
              </c:strCache>
            </c:strRef>
          </c:tx>
          <c:spPr>
            <a:solidFill>
              <a:srgbClr val="C00000">
                <a:alpha val="6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fan'!$AT$17:$AT$30</c:f>
              <c:numCache>
                <c:formatCode>0.0000</c:formatCode>
                <c:ptCount val="4"/>
                <c:pt idx="0">
                  <c:v>0</c:v>
                </c:pt>
                <c:pt idx="1">
                  <c:v>0</c:v>
                </c:pt>
                <c:pt idx="2">
                  <c:v>6.3636363636363491E-2</c:v>
                </c:pt>
                <c:pt idx="3">
                  <c:v>7.2727272727272751E-2</c:v>
                </c:pt>
              </c:numCache>
              <c:extLst/>
            </c:numRef>
          </c:val>
          <c:extLst>
            <c:ext xmlns:c16="http://schemas.microsoft.com/office/drawing/2014/chart" uri="{C3380CC4-5D6E-409C-BE32-E72D297353CC}">
              <c16:uniqueId val="{0000000F-1B0F-486D-9D84-E49211656CDB}"/>
            </c:ext>
          </c:extLst>
        </c:ser>
        <c:ser>
          <c:idx val="16"/>
          <c:order val="16"/>
          <c:tx>
            <c:strRef>
              <c:f>'Quarterly GDP chart fan'!$AU$16</c:f>
              <c:strCache>
                <c:ptCount val="1"/>
                <c:pt idx="0">
                  <c:v>Upper 6</c:v>
                </c:pt>
              </c:strCache>
            </c:strRef>
          </c:tx>
          <c:spPr>
            <a:solidFill>
              <a:srgbClr val="C00000">
                <a:alpha val="5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fan'!$AU$17:$AU$30</c:f>
              <c:numCache>
                <c:formatCode>0.0000</c:formatCode>
                <c:ptCount val="4"/>
                <c:pt idx="0">
                  <c:v>0</c:v>
                </c:pt>
                <c:pt idx="1">
                  <c:v>0</c:v>
                </c:pt>
                <c:pt idx="2">
                  <c:v>7.6363636363636189E-2</c:v>
                </c:pt>
                <c:pt idx="3">
                  <c:v>8.7272727272727391E-2</c:v>
                </c:pt>
              </c:numCache>
              <c:extLst/>
            </c:numRef>
          </c:val>
          <c:extLst>
            <c:ext xmlns:c16="http://schemas.microsoft.com/office/drawing/2014/chart" uri="{C3380CC4-5D6E-409C-BE32-E72D297353CC}">
              <c16:uniqueId val="{00000010-1B0F-486D-9D84-E49211656CDB}"/>
            </c:ext>
          </c:extLst>
        </c:ser>
        <c:ser>
          <c:idx val="17"/>
          <c:order val="17"/>
          <c:tx>
            <c:strRef>
              <c:f>'Quarterly GDP chart fan'!$AV$16</c:f>
              <c:strCache>
                <c:ptCount val="1"/>
                <c:pt idx="0">
                  <c:v>Upper 7</c:v>
                </c:pt>
              </c:strCache>
            </c:strRef>
          </c:tx>
          <c:spPr>
            <a:solidFill>
              <a:srgbClr val="C00000">
                <a:alpha val="4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fan'!$AV$17:$AV$30</c:f>
              <c:numCache>
                <c:formatCode>0.0000</c:formatCode>
                <c:ptCount val="4"/>
                <c:pt idx="0">
                  <c:v>0</c:v>
                </c:pt>
                <c:pt idx="1">
                  <c:v>0</c:v>
                </c:pt>
                <c:pt idx="2">
                  <c:v>8.9090909090908887E-2</c:v>
                </c:pt>
                <c:pt idx="3">
                  <c:v>0.10181818181818159</c:v>
                </c:pt>
              </c:numCache>
              <c:extLst/>
            </c:numRef>
          </c:val>
          <c:extLst>
            <c:ext xmlns:c16="http://schemas.microsoft.com/office/drawing/2014/chart" uri="{C3380CC4-5D6E-409C-BE32-E72D297353CC}">
              <c16:uniqueId val="{00000011-1B0F-486D-9D84-E49211656CDB}"/>
            </c:ext>
          </c:extLst>
        </c:ser>
        <c:ser>
          <c:idx val="18"/>
          <c:order val="18"/>
          <c:tx>
            <c:strRef>
              <c:f>'Quarterly GDP chart fan'!$AW$16</c:f>
              <c:strCache>
                <c:ptCount val="1"/>
                <c:pt idx="0">
                  <c:v>Upper 8</c:v>
                </c:pt>
              </c:strCache>
            </c:strRef>
          </c:tx>
          <c:spPr>
            <a:solidFill>
              <a:srgbClr val="C00000">
                <a:alpha val="3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fan'!$AW$17:$AW$30</c:f>
              <c:numCache>
                <c:formatCode>0.0000</c:formatCode>
                <c:ptCount val="4"/>
                <c:pt idx="0">
                  <c:v>0</c:v>
                </c:pt>
                <c:pt idx="1">
                  <c:v>0</c:v>
                </c:pt>
                <c:pt idx="2">
                  <c:v>0.10181818181818159</c:v>
                </c:pt>
                <c:pt idx="3">
                  <c:v>0.11636363636363622</c:v>
                </c:pt>
              </c:numCache>
              <c:extLst/>
            </c:numRef>
          </c:val>
          <c:extLst>
            <c:ext xmlns:c16="http://schemas.microsoft.com/office/drawing/2014/chart" uri="{C3380CC4-5D6E-409C-BE32-E72D297353CC}">
              <c16:uniqueId val="{00000012-1B0F-486D-9D84-E49211656CDB}"/>
            </c:ext>
          </c:extLst>
        </c:ser>
        <c:ser>
          <c:idx val="19"/>
          <c:order val="19"/>
          <c:tx>
            <c:strRef>
              <c:f>'Quarterly GDP chart fan'!$AX$16</c:f>
              <c:strCache>
                <c:ptCount val="1"/>
                <c:pt idx="0">
                  <c:v>Upper 9</c:v>
                </c:pt>
              </c:strCache>
            </c:strRef>
          </c:tx>
          <c:spPr>
            <a:solidFill>
              <a:srgbClr val="C00000">
                <a:alpha val="2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fan'!$AX$17:$AX$30</c:f>
              <c:numCache>
                <c:formatCode>0.0000</c:formatCode>
                <c:ptCount val="4"/>
                <c:pt idx="0">
                  <c:v>0</c:v>
                </c:pt>
                <c:pt idx="1">
                  <c:v>0</c:v>
                </c:pt>
                <c:pt idx="2">
                  <c:v>0.11454545454545473</c:v>
                </c:pt>
                <c:pt idx="3">
                  <c:v>0.13090909090909086</c:v>
                </c:pt>
              </c:numCache>
              <c:extLst/>
            </c:numRef>
          </c:val>
          <c:extLst>
            <c:ext xmlns:c16="http://schemas.microsoft.com/office/drawing/2014/chart" uri="{C3380CC4-5D6E-409C-BE32-E72D297353CC}">
              <c16:uniqueId val="{00000013-1B0F-486D-9D84-E49211656CDB}"/>
            </c:ext>
          </c:extLst>
        </c:ser>
        <c:ser>
          <c:idx val="20"/>
          <c:order val="20"/>
          <c:tx>
            <c:strRef>
              <c:f>'Quarterly GDP chart fan'!$AY$16</c:f>
              <c:strCache>
                <c:ptCount val="1"/>
                <c:pt idx="0">
                  <c:v>Upper 10</c:v>
                </c:pt>
              </c:strCache>
            </c:strRef>
          </c:tx>
          <c:spPr>
            <a:solidFill>
              <a:srgbClr val="C00000">
                <a:alpha val="10000"/>
              </a:srgbClr>
            </a:solidFill>
            <a:ln w="25400">
              <a:noFill/>
            </a:ln>
            <a:effectLst/>
          </c:spPr>
          <c:cat>
            <c:multiLvlStrRef>
              <c:f>'Quarterly GDP chart fan'!$B$17:$C$29</c:f>
              <c:multiLvlStrCache>
                <c:ptCount val="4"/>
                <c:lvl>
                  <c:pt idx="0">
                    <c:v>Q1</c:v>
                  </c:pt>
                  <c:pt idx="1">
                    <c:v>Q2</c:v>
                  </c:pt>
                  <c:pt idx="2">
                    <c:v>Q3</c:v>
                  </c:pt>
                  <c:pt idx="3">
                    <c:v>Q4</c:v>
                  </c:pt>
                </c:lvl>
                <c:lvl>
                  <c:pt idx="0">
                    <c:v>2024</c:v>
                  </c:pt>
                </c:lvl>
              </c:multiLvlStrCache>
              <c:extLst/>
            </c:multiLvlStrRef>
          </c:cat>
          <c:val>
            <c:numRef>
              <c:f>'Quarterly GDP chart fan'!$AY$17:$AY$30</c:f>
              <c:numCache>
                <c:formatCode>0.0000</c:formatCode>
                <c:ptCount val="4"/>
                <c:pt idx="0">
                  <c:v>0</c:v>
                </c:pt>
                <c:pt idx="1">
                  <c:v>0</c:v>
                </c:pt>
                <c:pt idx="2">
                  <c:v>0.12727272727272743</c:v>
                </c:pt>
                <c:pt idx="3">
                  <c:v>0.1454545454545455</c:v>
                </c:pt>
              </c:numCache>
              <c:extLst/>
            </c:numRef>
          </c:val>
          <c:extLst>
            <c:ext xmlns:c16="http://schemas.microsoft.com/office/drawing/2014/chart" uri="{C3380CC4-5D6E-409C-BE32-E72D297353CC}">
              <c16:uniqueId val="{00000014-1B0F-486D-9D84-E49211656CDB}"/>
            </c:ext>
          </c:extLst>
        </c:ser>
        <c:dLbls>
          <c:showLegendKey val="0"/>
          <c:showVal val="0"/>
          <c:showCatName val="0"/>
          <c:showSerName val="0"/>
          <c:showPercent val="0"/>
          <c:showBubbleSize val="0"/>
        </c:dLbls>
        <c:axId val="136355472"/>
        <c:axId val="136350480"/>
      </c:areaChart>
      <c:lineChart>
        <c:grouping val="standard"/>
        <c:varyColors val="0"/>
        <c:ser>
          <c:idx val="21"/>
          <c:order val="21"/>
          <c:tx>
            <c:strRef>
              <c:f>'Quarterly GDP chart fan'!$J$16</c:f>
              <c:strCache>
                <c:ptCount val="1"/>
                <c:pt idx="0">
                  <c:v>Kombinovana</c:v>
                </c:pt>
              </c:strCache>
            </c:strRef>
          </c:tx>
          <c:spPr>
            <a:ln w="12700" cap="rnd">
              <a:solidFill>
                <a:schemeClr val="tx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4"/>
              <c:pt idx="0">
                <c:v>2024 Q1</c:v>
              </c:pt>
              <c:pt idx="1">
                <c:v>2024 Q2</c:v>
              </c:pt>
              <c:pt idx="2">
                <c:v>2024 Q3</c:v>
              </c:pt>
              <c:pt idx="3">
                <c:v>2024 Q4</c:v>
              </c:pt>
              <c:extLst>
                <c:ext xmlns:c15="http://schemas.microsoft.com/office/drawing/2012/chart" uri="{02D57815-91ED-43cb-92C2-25804820EDAC}">
                  <c15:autoCat val="1"/>
                </c:ext>
              </c:extLst>
            </c:strLit>
          </c:cat>
          <c:val>
            <c:numRef>
              <c:f>'Quarterly GDP chart fan'!$J$17:$J$30</c:f>
              <c:numCache>
                <c:formatCode>0.0</c:formatCode>
                <c:ptCount val="4"/>
                <c:pt idx="0">
                  <c:v>4.5578956541714604</c:v>
                </c:pt>
                <c:pt idx="1">
                  <c:v>4.0161015208804827</c:v>
                </c:pt>
                <c:pt idx="2">
                  <c:v>3</c:v>
                </c:pt>
                <c:pt idx="3">
                  <c:v>3.5</c:v>
                </c:pt>
              </c:numCache>
              <c:extLst/>
            </c:numRef>
          </c:val>
          <c:smooth val="0"/>
          <c:extLst>
            <c:ext xmlns:c16="http://schemas.microsoft.com/office/drawing/2014/chart" uri="{C3380CC4-5D6E-409C-BE32-E72D297353CC}">
              <c16:uniqueId val="{00000015-1B0F-486D-9D84-E49211656CDB}"/>
            </c:ext>
          </c:extLst>
        </c:ser>
        <c:dLbls>
          <c:showLegendKey val="0"/>
          <c:showVal val="0"/>
          <c:showCatName val="0"/>
          <c:showSerName val="0"/>
          <c:showPercent val="0"/>
          <c:showBubbleSize val="0"/>
        </c:dLbls>
        <c:marker val="1"/>
        <c:smooth val="0"/>
        <c:axId val="136355472"/>
        <c:axId val="136350480"/>
      </c:lineChart>
      <c:catAx>
        <c:axId val="13635547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750" b="0" i="0" u="none" strike="noStrike" kern="1200" baseline="0">
                <a:solidFill>
                  <a:schemeClr val="tx2"/>
                </a:solidFill>
                <a:latin typeface="+mn-lt"/>
                <a:ea typeface="+mn-ea"/>
                <a:cs typeface="+mn-cs"/>
              </a:defRPr>
            </a:pPr>
            <a:endParaRPr lang="en-US"/>
          </a:p>
        </c:txPr>
        <c:crossAx val="136350480"/>
        <c:crosses val="autoZero"/>
        <c:auto val="1"/>
        <c:lblAlgn val="ctr"/>
        <c:lblOffset val="100"/>
        <c:noMultiLvlLbl val="0"/>
      </c:catAx>
      <c:valAx>
        <c:axId val="136350480"/>
        <c:scaling>
          <c:orientation val="minMax"/>
          <c:max val="5"/>
          <c:min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chemeClr val="tx2"/>
                </a:solidFill>
                <a:latin typeface="+mn-lt"/>
                <a:ea typeface="+mn-ea"/>
                <a:cs typeface="+mn-cs"/>
              </a:defRPr>
            </a:pPr>
            <a:endParaRPr lang="en-US"/>
          </a:p>
        </c:txPr>
        <c:crossAx val="136355472"/>
        <c:crosses val="autoZero"/>
        <c:crossBetween val="between"/>
        <c:majorUnit val="1"/>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200" b="1" i="0" baseline="0">
                <a:solidFill>
                  <a:schemeClr val="tx1"/>
                </a:solidFill>
                <a:effectLst/>
                <a:latin typeface="Times New Roman" panose="02020603050405020304" pitchFamily="18" charset="0"/>
                <a:cs typeface="Times New Roman" panose="02020603050405020304" pitchFamily="18" charset="0"/>
              </a:rPr>
              <a:t>Приходи </a:t>
            </a:r>
            <a:r>
              <a:rPr lang="sr-Cyrl-RS" sz="1200" b="1" i="0" baseline="0">
                <a:solidFill>
                  <a:schemeClr val="tx1"/>
                </a:solidFill>
                <a:effectLst/>
                <a:latin typeface="Times New Roman" panose="02020603050405020304" pitchFamily="18" charset="0"/>
                <a:cs typeface="Times New Roman" panose="02020603050405020304" pitchFamily="18" charset="0"/>
              </a:rPr>
              <a:t>буџет</a:t>
            </a:r>
            <a:r>
              <a:rPr lang="en-GB" sz="1200" b="1" i="0" baseline="0">
                <a:solidFill>
                  <a:schemeClr val="tx1"/>
                </a:solidFill>
                <a:effectLst/>
                <a:latin typeface="Times New Roman" panose="02020603050405020304" pitchFamily="18" charset="0"/>
                <a:cs typeface="Times New Roman" panose="02020603050405020304" pitchFamily="18" charset="0"/>
              </a:rPr>
              <a:t>a</a:t>
            </a:r>
            <a:r>
              <a:rPr lang="sr-Cyrl-RS" sz="1200" b="1" i="0" baseline="0">
                <a:solidFill>
                  <a:schemeClr val="tx1"/>
                </a:solidFill>
                <a:effectLst/>
                <a:latin typeface="Times New Roman" panose="02020603050405020304" pitchFamily="18" charset="0"/>
                <a:cs typeface="Times New Roman" panose="02020603050405020304" pitchFamily="18" charset="0"/>
              </a:rPr>
              <a:t> </a:t>
            </a:r>
            <a:r>
              <a:rPr lang="en-GB" sz="1200" b="1" i="0" baseline="0">
                <a:solidFill>
                  <a:schemeClr val="tx1"/>
                </a:solidFill>
                <a:effectLst/>
                <a:latin typeface="Times New Roman" panose="02020603050405020304" pitchFamily="18" charset="0"/>
                <a:cs typeface="Times New Roman" panose="02020603050405020304" pitchFamily="18" charset="0"/>
              </a:rPr>
              <a:t>2024 </a:t>
            </a:r>
            <a:r>
              <a:rPr lang="sr-Cyrl-RS" sz="1200" b="1" i="0" baseline="0">
                <a:solidFill>
                  <a:schemeClr val="tx1"/>
                </a:solidFill>
                <a:effectLst/>
                <a:latin typeface="Times New Roman" panose="02020603050405020304" pitchFamily="18" charset="0"/>
                <a:cs typeface="Times New Roman" panose="02020603050405020304" pitchFamily="18" charset="0"/>
              </a:rPr>
              <a:t>и </a:t>
            </a:r>
            <a:r>
              <a:rPr lang="en-US" sz="1200" b="1" i="0" baseline="0">
                <a:solidFill>
                  <a:schemeClr val="tx1"/>
                </a:solidFill>
                <a:effectLst/>
                <a:latin typeface="Times New Roman" panose="02020603050405020304" pitchFamily="18" charset="0"/>
                <a:cs typeface="Times New Roman" panose="02020603050405020304" pitchFamily="18" charset="0"/>
              </a:rPr>
              <a:t>20</a:t>
            </a:r>
            <a:r>
              <a:rPr lang="sr-Cyrl-RS" sz="1200" b="1" i="0" baseline="0">
                <a:solidFill>
                  <a:schemeClr val="tx1"/>
                </a:solidFill>
                <a:effectLst/>
                <a:latin typeface="Times New Roman" panose="02020603050405020304" pitchFamily="18" charset="0"/>
                <a:cs typeface="Times New Roman" panose="02020603050405020304" pitchFamily="18" charset="0"/>
              </a:rPr>
              <a:t>2</a:t>
            </a:r>
            <a:r>
              <a:rPr lang="en-GB" sz="1200" b="1" i="0" baseline="0">
                <a:solidFill>
                  <a:schemeClr val="tx1"/>
                </a:solidFill>
                <a:effectLst/>
                <a:latin typeface="Times New Roman" panose="02020603050405020304" pitchFamily="18" charset="0"/>
                <a:cs typeface="Times New Roman" panose="02020603050405020304" pitchFamily="18" charset="0"/>
              </a:rPr>
              <a:t>5</a:t>
            </a:r>
            <a:r>
              <a:rPr lang="en-US" sz="1200" b="1" i="0" baseline="0">
                <a:solidFill>
                  <a:schemeClr val="tx1"/>
                </a:solidFill>
                <a:effectLst/>
                <a:latin typeface="Times New Roman" panose="02020603050405020304" pitchFamily="18" charset="0"/>
                <a:cs typeface="Times New Roman" panose="02020603050405020304" pitchFamily="18" charset="0"/>
              </a:rPr>
              <a:t>. </a:t>
            </a:r>
            <a:r>
              <a:rPr lang="sr-Cyrl-RS" sz="1200" b="1" i="0" baseline="0">
                <a:solidFill>
                  <a:schemeClr val="tx1"/>
                </a:solidFill>
                <a:effectLst/>
                <a:latin typeface="Times New Roman" panose="02020603050405020304" pitchFamily="18" charset="0"/>
                <a:cs typeface="Times New Roman" panose="02020603050405020304" pitchFamily="18" charset="0"/>
              </a:rPr>
              <a:t>године</a:t>
            </a:r>
            <a:endParaRPr lang="sr-Cyrl-RS" sz="120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0.2885903201659219"/>
          <c:y val="1.7003346019506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624341663311179"/>
          <c:y val="9.8619514239313658E-2"/>
          <c:w val="0.86570102251172576"/>
          <c:h val="0.66855917237796736"/>
        </c:manualLayout>
      </c:layout>
      <c:barChart>
        <c:barDir val="col"/>
        <c:grouping val="clustered"/>
        <c:varyColors val="0"/>
        <c:ser>
          <c:idx val="0"/>
          <c:order val="0"/>
          <c:tx>
            <c:strRef>
              <c:f>'табела поређења'!$C$4</c:f>
              <c:strCache>
                <c:ptCount val="1"/>
                <c:pt idx="0">
                  <c:v>Буџет 2025</c:v>
                </c:pt>
              </c:strCache>
            </c:strRef>
          </c:tx>
          <c:spPr>
            <a:solidFill>
              <a:schemeClr val="accent1">
                <a:lumMod val="40000"/>
                <a:lumOff val="60000"/>
              </a:schemeClr>
            </a:solidFill>
            <a:ln>
              <a:noFill/>
            </a:ln>
            <a:effectLst/>
          </c:spPr>
          <c:invertIfNegative val="0"/>
          <c:cat>
            <c:strRef>
              <c:f>('табела поређења'!$A$7:$A$10,'табела поређења'!$A$14:$A$17)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 поређења'!$B$7:$B$10,'табела поређења'!$B$14:$B$17)</c:f>
              <c:numCache>
                <c:formatCode>#,##0.0</c:formatCode>
                <c:ptCount val="8"/>
                <c:pt idx="0">
                  <c:v>128.30000000000001</c:v>
                </c:pt>
                <c:pt idx="1">
                  <c:v>265.5</c:v>
                </c:pt>
                <c:pt idx="2">
                  <c:v>960</c:v>
                </c:pt>
                <c:pt idx="3">
                  <c:v>407</c:v>
                </c:pt>
                <c:pt idx="4">
                  <c:v>88</c:v>
                </c:pt>
                <c:pt idx="5">
                  <c:v>16</c:v>
                </c:pt>
                <c:pt idx="6">
                  <c:v>275.09418399999998</c:v>
                </c:pt>
                <c:pt idx="7">
                  <c:v>33.455010000000001</c:v>
                </c:pt>
              </c:numCache>
            </c:numRef>
          </c:val>
          <c:extLst>
            <c:ext xmlns:c16="http://schemas.microsoft.com/office/drawing/2014/chart" uri="{C3380CC4-5D6E-409C-BE32-E72D297353CC}">
              <c16:uniqueId val="{00000000-DE77-4A87-A99F-CCE3483C3119}"/>
            </c:ext>
          </c:extLst>
        </c:ser>
        <c:ser>
          <c:idx val="1"/>
          <c:order val="1"/>
          <c:tx>
            <c:strRef>
              <c:f>'табела поређења'!$B$4</c:f>
              <c:strCache>
                <c:ptCount val="1"/>
                <c:pt idx="0">
                  <c:v>Ребаланс 2024</c:v>
                </c:pt>
              </c:strCache>
            </c:strRef>
          </c:tx>
          <c:spPr>
            <a:solidFill>
              <a:schemeClr val="accent2"/>
            </a:solidFill>
            <a:ln>
              <a:noFill/>
            </a:ln>
            <a:effectLst/>
          </c:spPr>
          <c:invertIfNegative val="0"/>
          <c:cat>
            <c:strRef>
              <c:f>('табела поређења'!$A$7:$A$10,'табела поређења'!$A$14:$A$17)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 поређења'!$C$7:$C$10,'табела поређења'!$C$14:$C$17)</c:f>
              <c:numCache>
                <c:formatCode>#,##0.0</c:formatCode>
                <c:ptCount val="8"/>
                <c:pt idx="0">
                  <c:v>138.4</c:v>
                </c:pt>
                <c:pt idx="1">
                  <c:v>258.8</c:v>
                </c:pt>
                <c:pt idx="2">
                  <c:v>1056</c:v>
                </c:pt>
                <c:pt idx="3">
                  <c:v>420</c:v>
                </c:pt>
                <c:pt idx="4">
                  <c:v>95.3</c:v>
                </c:pt>
                <c:pt idx="5">
                  <c:v>16.600000000000001</c:v>
                </c:pt>
                <c:pt idx="6">
                  <c:v>325.67474600000003</c:v>
                </c:pt>
                <c:pt idx="7">
                  <c:v>35.425254000000002</c:v>
                </c:pt>
              </c:numCache>
            </c:numRef>
          </c:val>
          <c:extLst>
            <c:ext xmlns:c16="http://schemas.microsoft.com/office/drawing/2014/chart" uri="{C3380CC4-5D6E-409C-BE32-E72D297353CC}">
              <c16:uniqueId val="{00000001-DE77-4A87-A99F-CCE3483C3119}"/>
            </c:ext>
          </c:extLst>
        </c:ser>
        <c:dLbls>
          <c:showLegendKey val="0"/>
          <c:showVal val="0"/>
          <c:showCatName val="0"/>
          <c:showSerName val="0"/>
          <c:showPercent val="0"/>
          <c:showBubbleSize val="0"/>
        </c:dLbls>
        <c:gapWidth val="50"/>
        <c:overlap val="1"/>
        <c:axId val="540867352"/>
        <c:axId val="540867744"/>
      </c:barChart>
      <c:lineChart>
        <c:grouping val="standard"/>
        <c:varyColors val="0"/>
        <c:ser>
          <c:idx val="2"/>
          <c:order val="2"/>
          <c:tx>
            <c:strRef>
              <c:f>'табела поређења'!$D$4</c:f>
              <c:strCache>
                <c:ptCount val="1"/>
                <c:pt idx="0">
                  <c:v>Индекс  2025/2024</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('табела поређења'!$A$7:$A$10,'табела поређења'!$A$14:$A$17)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 поређења'!$D$7:$D$10,'табела поређења'!$D$14:$D$17)</c:f>
              <c:numCache>
                <c:formatCode>0.0</c:formatCode>
                <c:ptCount val="8"/>
                <c:pt idx="0">
                  <c:v>107.8721745908028</c:v>
                </c:pt>
                <c:pt idx="1">
                  <c:v>97.476459510357813</c:v>
                </c:pt>
                <c:pt idx="2">
                  <c:v>110.00000000000001</c:v>
                </c:pt>
                <c:pt idx="3">
                  <c:v>103.19410319410321</c:v>
                </c:pt>
                <c:pt idx="4">
                  <c:v>108.29545454545455</c:v>
                </c:pt>
                <c:pt idx="5">
                  <c:v>103.75000000000001</c:v>
                </c:pt>
                <c:pt idx="6">
                  <c:v>118.38663444807689</c:v>
                </c:pt>
                <c:pt idx="7">
                  <c:v>105.88923452720536</c:v>
                </c:pt>
              </c:numCache>
            </c:numRef>
          </c:val>
          <c:smooth val="0"/>
          <c:extLst>
            <c:ext xmlns:c16="http://schemas.microsoft.com/office/drawing/2014/chart" uri="{C3380CC4-5D6E-409C-BE32-E72D297353CC}">
              <c16:uniqueId val="{00000002-DE77-4A87-A99F-CCE3483C3119}"/>
            </c:ext>
          </c:extLst>
        </c:ser>
        <c:dLbls>
          <c:showLegendKey val="0"/>
          <c:showVal val="0"/>
          <c:showCatName val="0"/>
          <c:showSerName val="0"/>
          <c:showPercent val="0"/>
          <c:showBubbleSize val="0"/>
        </c:dLbls>
        <c:marker val="1"/>
        <c:smooth val="0"/>
        <c:axId val="540864216"/>
        <c:axId val="540863824"/>
      </c:lineChart>
      <c:catAx>
        <c:axId val="54086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40867744"/>
        <c:crosses val="autoZero"/>
        <c:auto val="1"/>
        <c:lblAlgn val="ctr"/>
        <c:lblOffset val="100"/>
        <c:noMultiLvlLbl val="0"/>
      </c:catAx>
      <c:valAx>
        <c:axId val="540867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40867352"/>
        <c:crosses val="autoZero"/>
        <c:crossBetween val="between"/>
      </c:valAx>
      <c:valAx>
        <c:axId val="54086382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40864216"/>
        <c:crosses val="max"/>
        <c:crossBetween val="between"/>
      </c:valAx>
      <c:catAx>
        <c:axId val="540864216"/>
        <c:scaling>
          <c:orientation val="minMax"/>
        </c:scaling>
        <c:delete val="1"/>
        <c:axPos val="b"/>
        <c:numFmt formatCode="General" sourceLinked="1"/>
        <c:majorTickMark val="out"/>
        <c:minorTickMark val="none"/>
        <c:tickLblPos val="nextTo"/>
        <c:crossAx val="540863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0" i="0" u="none" strike="noStrike" kern="1200" baseline="0">
                <a:solidFill>
                  <a:srgbClr val="000000"/>
                </a:solidFill>
                <a:latin typeface="Calibri"/>
                <a:ea typeface="Calibri"/>
                <a:cs typeface="Calibri"/>
              </a:defRPr>
            </a:pPr>
            <a:r>
              <a:rPr lang="sr-Cyrl-RS" sz="1100" b="1">
                <a:latin typeface="Times New Roman" panose="02020603050405020304" pitchFamily="18" charset="0"/>
                <a:cs typeface="Times New Roman" panose="02020603050405020304" pitchFamily="18" charset="0"/>
              </a:rPr>
              <a:t>Структура прихода у 202</a:t>
            </a:r>
            <a:r>
              <a:rPr lang="en-GB" sz="1100" b="1">
                <a:latin typeface="Times New Roman" panose="02020603050405020304" pitchFamily="18" charset="0"/>
                <a:cs typeface="Times New Roman" panose="02020603050405020304" pitchFamily="18" charset="0"/>
              </a:rPr>
              <a:t>5</a:t>
            </a:r>
            <a:r>
              <a:rPr lang="en-US" sz="1100" b="1">
                <a:latin typeface="Times New Roman" panose="02020603050405020304" pitchFamily="18" charset="0"/>
                <a:cs typeface="Times New Roman" panose="02020603050405020304" pitchFamily="18" charset="0"/>
              </a:rPr>
              <a:t>.</a:t>
            </a:r>
            <a:r>
              <a:rPr lang="en-US" sz="1100" b="1" baseline="0">
                <a:latin typeface="Times New Roman" panose="02020603050405020304" pitchFamily="18" charset="0"/>
                <a:cs typeface="Times New Roman" panose="02020603050405020304" pitchFamily="18" charset="0"/>
              </a:rPr>
              <a:t> </a:t>
            </a:r>
            <a:r>
              <a:rPr lang="sr-Cyrl-RS" sz="1100" b="1" baseline="0">
                <a:latin typeface="Times New Roman" panose="02020603050405020304" pitchFamily="18" charset="0"/>
                <a:cs typeface="Times New Roman" panose="02020603050405020304" pitchFamily="18" charset="0"/>
              </a:rPr>
              <a:t>години</a:t>
            </a:r>
            <a:r>
              <a:rPr lang="sr-Cyrl-RS" sz="1100" b="1">
                <a:latin typeface="Times New Roman" panose="02020603050405020304" pitchFamily="18" charset="0"/>
                <a:cs typeface="Times New Roman" panose="02020603050405020304" pitchFamily="18" charset="0"/>
              </a:rPr>
              <a:t>, у %</a:t>
            </a:r>
          </a:p>
        </c:rich>
      </c:tx>
      <c:layout>
        <c:manualLayout>
          <c:xMode val="edge"/>
          <c:yMode val="edge"/>
          <c:x val="0.27516884730201985"/>
          <c:y val="1.180067508956046E-2"/>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0000"/>
              </a:solidFill>
              <a:latin typeface="Calibri"/>
              <a:ea typeface="Calibri"/>
              <a:cs typeface="Calibri"/>
            </a:defRPr>
          </a:pPr>
          <a:endParaRPr lang="en-US"/>
        </a:p>
      </c:txPr>
    </c:title>
    <c:autoTitleDeleted val="0"/>
    <c:plotArea>
      <c:layout>
        <c:manualLayout>
          <c:layoutTarget val="inner"/>
          <c:xMode val="edge"/>
          <c:yMode val="edge"/>
          <c:x val="0.24889878864151879"/>
          <c:y val="0.14066780312254784"/>
          <c:w val="0.46554284674811686"/>
          <c:h val="0.84829585734772839"/>
        </c:manualLayout>
      </c:layout>
      <c:pieChart>
        <c:varyColors val="1"/>
        <c:ser>
          <c:idx val="0"/>
          <c:order val="0"/>
          <c:tx>
            <c:strRef>
              <c:f>'табела поређења'!$F$4</c:f>
              <c:strCache>
                <c:ptCount val="1"/>
                <c:pt idx="0">
                  <c:v>Структура прихода  ребаланс 2025, у %</c:v>
                </c:pt>
              </c:strCache>
            </c:strRef>
          </c:tx>
          <c:explosion val="3"/>
          <c:dPt>
            <c:idx val="0"/>
            <c:bubble3D val="0"/>
            <c:spPr>
              <a:solidFill>
                <a:schemeClr val="accent1">
                  <a:shade val="45000"/>
                </a:schemeClr>
              </a:solidFill>
              <a:ln>
                <a:noFill/>
              </a:ln>
              <a:effectLst/>
            </c:spPr>
            <c:extLst>
              <c:ext xmlns:c16="http://schemas.microsoft.com/office/drawing/2014/chart" uri="{C3380CC4-5D6E-409C-BE32-E72D297353CC}">
                <c16:uniqueId val="{00000001-9D7C-448A-AB5D-277335DAA0AD}"/>
              </c:ext>
            </c:extLst>
          </c:dPt>
          <c:dPt>
            <c:idx val="1"/>
            <c:bubble3D val="0"/>
            <c:spPr>
              <a:solidFill>
                <a:schemeClr val="accent1">
                  <a:shade val="61000"/>
                </a:schemeClr>
              </a:solidFill>
              <a:ln>
                <a:noFill/>
              </a:ln>
              <a:effectLst/>
            </c:spPr>
            <c:extLst>
              <c:ext xmlns:c16="http://schemas.microsoft.com/office/drawing/2014/chart" uri="{C3380CC4-5D6E-409C-BE32-E72D297353CC}">
                <c16:uniqueId val="{00000003-9D7C-448A-AB5D-277335DAA0AD}"/>
              </c:ext>
            </c:extLst>
          </c:dPt>
          <c:dPt>
            <c:idx val="2"/>
            <c:bubble3D val="0"/>
            <c:spPr>
              <a:solidFill>
                <a:schemeClr val="accent1">
                  <a:shade val="76000"/>
                </a:schemeClr>
              </a:solidFill>
              <a:ln>
                <a:noFill/>
              </a:ln>
              <a:effectLst/>
            </c:spPr>
            <c:extLst>
              <c:ext xmlns:c16="http://schemas.microsoft.com/office/drawing/2014/chart" uri="{C3380CC4-5D6E-409C-BE32-E72D297353CC}">
                <c16:uniqueId val="{00000005-9D7C-448A-AB5D-277335DAA0AD}"/>
              </c:ext>
            </c:extLst>
          </c:dPt>
          <c:dPt>
            <c:idx val="3"/>
            <c:bubble3D val="0"/>
            <c:spPr>
              <a:solidFill>
                <a:schemeClr val="accent1">
                  <a:shade val="92000"/>
                </a:schemeClr>
              </a:solidFill>
              <a:ln>
                <a:noFill/>
              </a:ln>
              <a:effectLst/>
            </c:spPr>
            <c:extLst>
              <c:ext xmlns:c16="http://schemas.microsoft.com/office/drawing/2014/chart" uri="{C3380CC4-5D6E-409C-BE32-E72D297353CC}">
                <c16:uniqueId val="{00000007-9D7C-448A-AB5D-277335DAA0AD}"/>
              </c:ext>
            </c:extLst>
          </c:dPt>
          <c:dPt>
            <c:idx val="4"/>
            <c:bubble3D val="0"/>
            <c:spPr>
              <a:solidFill>
                <a:schemeClr val="accent1">
                  <a:tint val="93000"/>
                </a:schemeClr>
              </a:solidFill>
              <a:ln>
                <a:noFill/>
              </a:ln>
              <a:effectLst/>
            </c:spPr>
            <c:extLst>
              <c:ext xmlns:c16="http://schemas.microsoft.com/office/drawing/2014/chart" uri="{C3380CC4-5D6E-409C-BE32-E72D297353CC}">
                <c16:uniqueId val="{00000009-9D7C-448A-AB5D-277335DAA0AD}"/>
              </c:ext>
            </c:extLst>
          </c:dPt>
          <c:dPt>
            <c:idx val="5"/>
            <c:bubble3D val="0"/>
            <c:spPr>
              <a:solidFill>
                <a:schemeClr val="accent1">
                  <a:tint val="77000"/>
                </a:schemeClr>
              </a:solidFill>
              <a:ln>
                <a:noFill/>
              </a:ln>
              <a:effectLst/>
            </c:spPr>
            <c:extLst>
              <c:ext xmlns:c16="http://schemas.microsoft.com/office/drawing/2014/chart" uri="{C3380CC4-5D6E-409C-BE32-E72D297353CC}">
                <c16:uniqueId val="{0000000B-9D7C-448A-AB5D-277335DAA0AD}"/>
              </c:ext>
            </c:extLst>
          </c:dPt>
          <c:dPt>
            <c:idx val="6"/>
            <c:bubble3D val="0"/>
            <c:spPr>
              <a:solidFill>
                <a:schemeClr val="accent1">
                  <a:tint val="62000"/>
                </a:schemeClr>
              </a:solidFill>
              <a:ln>
                <a:noFill/>
              </a:ln>
              <a:effectLst/>
            </c:spPr>
            <c:extLst>
              <c:ext xmlns:c16="http://schemas.microsoft.com/office/drawing/2014/chart" uri="{C3380CC4-5D6E-409C-BE32-E72D297353CC}">
                <c16:uniqueId val="{0000000D-9D7C-448A-AB5D-277335DAA0AD}"/>
              </c:ext>
            </c:extLst>
          </c:dPt>
          <c:dPt>
            <c:idx val="7"/>
            <c:bubble3D val="0"/>
            <c:spPr>
              <a:solidFill>
                <a:schemeClr val="accent1">
                  <a:tint val="46000"/>
                </a:schemeClr>
              </a:solidFill>
              <a:ln>
                <a:noFill/>
              </a:ln>
              <a:effectLst/>
            </c:spPr>
            <c:extLst>
              <c:ext xmlns:c16="http://schemas.microsoft.com/office/drawing/2014/chart" uri="{C3380CC4-5D6E-409C-BE32-E72D297353CC}">
                <c16:uniqueId val="{0000000F-9D7C-448A-AB5D-277335DAA0AD}"/>
              </c:ext>
            </c:extLst>
          </c:dPt>
          <c:dPt>
            <c:idx val="8"/>
            <c:bubble3D val="0"/>
            <c:spPr>
              <a:solidFill>
                <a:schemeClr val="accent1">
                  <a:tint val="65000"/>
                </a:schemeClr>
              </a:solidFill>
              <a:ln>
                <a:noFill/>
              </a:ln>
              <a:effectLst/>
            </c:spPr>
            <c:extLst>
              <c:ext xmlns:c16="http://schemas.microsoft.com/office/drawing/2014/chart" uri="{C3380CC4-5D6E-409C-BE32-E72D297353CC}">
                <c16:uniqueId val="{00000011-9D7C-448A-AB5D-277335DAA0AD}"/>
              </c:ext>
            </c:extLst>
          </c:dPt>
          <c:dPt>
            <c:idx val="9"/>
            <c:bubble3D val="0"/>
            <c:spPr>
              <a:solidFill>
                <a:schemeClr val="accent1">
                  <a:tint val="54000"/>
                </a:schemeClr>
              </a:solidFill>
              <a:ln>
                <a:noFill/>
              </a:ln>
              <a:effectLst/>
            </c:spPr>
            <c:extLst>
              <c:ext xmlns:c16="http://schemas.microsoft.com/office/drawing/2014/chart" uri="{C3380CC4-5D6E-409C-BE32-E72D297353CC}">
                <c16:uniqueId val="{00000013-9D7C-448A-AB5D-277335DAA0AD}"/>
              </c:ext>
            </c:extLst>
          </c:dPt>
          <c:dPt>
            <c:idx val="10"/>
            <c:bubble3D val="0"/>
            <c:spPr>
              <a:solidFill>
                <a:schemeClr val="accent1">
                  <a:tint val="42000"/>
                </a:schemeClr>
              </a:solidFill>
              <a:ln>
                <a:noFill/>
              </a:ln>
              <a:effectLst/>
            </c:spPr>
            <c:extLst>
              <c:ext xmlns:c16="http://schemas.microsoft.com/office/drawing/2014/chart" uri="{C3380CC4-5D6E-409C-BE32-E72D297353CC}">
                <c16:uniqueId val="{00000015-9D7C-448A-AB5D-277335DAA0AD}"/>
              </c:ext>
            </c:extLst>
          </c:dPt>
          <c:dLbls>
            <c:dLbl>
              <c:idx val="0"/>
              <c:layout>
                <c:manualLayout>
                  <c:x val="1.3494871529216764E-2"/>
                  <c:y val="6.287225694726315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7C-448A-AB5D-277335DAA0AD}"/>
                </c:ext>
              </c:extLst>
            </c:dLbl>
            <c:dLbl>
              <c:idx val="2"/>
              <c:layout>
                <c:manualLayout>
                  <c:x val="0.11416691163400661"/>
                  <c:y val="-0.212363236277330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7C-448A-AB5D-277335DAA0AD}"/>
                </c:ext>
              </c:extLst>
            </c:dLbl>
            <c:dLbl>
              <c:idx val="3"/>
              <c:layout>
                <c:manualLayout>
                  <c:x val="6.5590903396856221E-2"/>
                  <c:y val="0.144010719143993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7C-448A-AB5D-277335DAA0AD}"/>
                </c:ext>
              </c:extLst>
            </c:dLbl>
            <c:dLbl>
              <c:idx val="4"/>
              <c:layout>
                <c:manualLayout>
                  <c:x val="-2.3449049066887133E-3"/>
                  <c:y val="8.6505831165463766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7C-448A-AB5D-277335DAA0AD}"/>
                </c:ext>
              </c:extLst>
            </c:dLbl>
            <c:dLbl>
              <c:idx val="5"/>
              <c:layout>
                <c:manualLayout>
                  <c:x val="4.5165937908354825E-2"/>
                  <c:y val="3.760170046583068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9D7C-448A-AB5D-277335DAA0AD}"/>
                </c:ext>
              </c:extLst>
            </c:dLbl>
            <c:dLbl>
              <c:idx val="7"/>
              <c:layout>
                <c:manualLayout>
                  <c:x val="-2.9494484251854126E-2"/>
                  <c:y val="2.6264081472029779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9D7C-448A-AB5D-277335DAA0AD}"/>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Times New Roman" pitchFamily="18" charset="0"/>
                    <a:ea typeface="Calibri"/>
                    <a:cs typeface="Times New Roman" pitchFamily="18" charset="0"/>
                  </a:defRPr>
                </a:pPr>
                <a:endParaRPr lang="en-US"/>
              </a:p>
            </c:txPr>
            <c:dLblPos val="bestFit"/>
            <c:showLegendKey val="0"/>
            <c:showVal val="0"/>
            <c:showCatName val="1"/>
            <c:showSerName val="0"/>
            <c:showPercent val="1"/>
            <c:showBubbleSize val="0"/>
            <c:separator>
</c:separator>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('табела поређења'!$A$7:$A$10,'табела поређења'!$A$14:$A$17)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 поређења'!$F$7:$F$10,'табела поређења'!$F$14:$F$17)</c:f>
              <c:numCache>
                <c:formatCode>0.0</c:formatCode>
                <c:ptCount val="8"/>
                <c:pt idx="0">
                  <c:v>5.8989003495013197</c:v>
                </c:pt>
                <c:pt idx="1">
                  <c:v>11.030602676668652</c:v>
                </c:pt>
                <c:pt idx="2">
                  <c:v>45.008950643593884</c:v>
                </c:pt>
                <c:pt idx="3">
                  <c:v>17.90128718779302</c:v>
                </c:pt>
                <c:pt idx="4">
                  <c:v>4.0618873071349402</c:v>
                </c:pt>
                <c:pt idx="5">
                  <c:v>0.70752706504134333</c:v>
                </c:pt>
                <c:pt idx="6">
                  <c:v>13.880945614184636</c:v>
                </c:pt>
                <c:pt idx="7">
                  <c:v>1.5098991560821751</c:v>
                </c:pt>
              </c:numCache>
            </c:numRef>
          </c:val>
          <c:extLst>
            <c:ext xmlns:c16="http://schemas.microsoft.com/office/drawing/2014/chart" uri="{C3380CC4-5D6E-409C-BE32-E72D297353CC}">
              <c16:uniqueId val="{00000016-9D7C-448A-AB5D-277335DAA0AD}"/>
            </c:ext>
          </c:extLst>
        </c:ser>
        <c:dLbls>
          <c:showLegendKey val="0"/>
          <c:showVal val="0"/>
          <c:showCatName val="0"/>
          <c:showSerName val="0"/>
          <c:showPercent val="0"/>
          <c:showBubbleSize val="0"/>
          <c:showLeaderLines val="1"/>
        </c:dLbls>
        <c:firstSliceAng val="66"/>
      </c:pieChart>
      <c:spPr>
        <a:noFill/>
        <a:ln w="25400">
          <a:noFill/>
        </a:ln>
        <a:effectLst/>
      </c:spPr>
    </c:plotArea>
    <c:plotVisOnly val="1"/>
    <c:dispBlanksAs val="zero"/>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0.00523</cdr:x>
      <cdr:y>0.40727</cdr:y>
    </cdr:from>
    <cdr:to>
      <cdr:x>0.04808</cdr:x>
      <cdr:y>0.51502</cdr:y>
    </cdr:to>
    <cdr:pic>
      <cdr:nvPicPr>
        <cdr:cNvPr id="2" name="chart">
          <a:extLst xmlns:a="http://schemas.openxmlformats.org/drawingml/2006/main">
            <a:ext uri="{FF2B5EF4-FFF2-40B4-BE49-F238E27FC236}">
              <a16:creationId xmlns:a16="http://schemas.microsoft.com/office/drawing/2014/main" id="{686307BD-C9B0-72F2-BB14-0145FA0939C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68465" y="1615478"/>
          <a:ext cx="402370" cy="21337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EE13-6208-44FB-B30D-632D4507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11280</Words>
  <Characters>64301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Savatovic</dc:creator>
  <cp:keywords/>
  <dc:description/>
  <cp:lastModifiedBy>Milesa Marjanović</cp:lastModifiedBy>
  <cp:revision>148</cp:revision>
  <cp:lastPrinted>2023-09-25T12:58:00Z</cp:lastPrinted>
  <dcterms:created xsi:type="dcterms:W3CDTF">2024-10-29T07:45:00Z</dcterms:created>
  <dcterms:modified xsi:type="dcterms:W3CDTF">2024-11-07T06:43:00Z</dcterms:modified>
</cp:coreProperties>
</file>