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ECA1" w14:textId="77777777" w:rsidR="006E1A65" w:rsidRPr="007A6001" w:rsidRDefault="006E1A65" w:rsidP="0062726B">
      <w:pPr>
        <w:widowControl w:val="0"/>
        <w:jc w:val="center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Образложење</w:t>
      </w:r>
    </w:p>
    <w:p w14:paraId="620AD725" w14:textId="77777777" w:rsidR="006E1A65" w:rsidRPr="007A6001" w:rsidRDefault="006E1A65" w:rsidP="006E1A65">
      <w:pPr>
        <w:widowContro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4EC8D8B" w14:textId="77777777" w:rsidR="0037645B" w:rsidRPr="007A6001" w:rsidRDefault="0037645B" w:rsidP="006E1A65">
      <w:pPr>
        <w:widowContro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1FEE4F1" w14:textId="77777777" w:rsidR="006E1A65" w:rsidRPr="007A6001" w:rsidRDefault="00F83320" w:rsidP="0046607C">
      <w:pPr>
        <w:pStyle w:val="ListParagraph"/>
        <w:widowControl w:val="0"/>
        <w:numPr>
          <w:ilvl w:val="0"/>
          <w:numId w:val="1"/>
        </w:numPr>
        <w:ind w:hanging="11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УСТАВНИ ОСНОВ ЗА ДОНОШЕЊЕ ЗАКОНА</w:t>
      </w:r>
    </w:p>
    <w:p w14:paraId="7AA1A40D" w14:textId="77777777" w:rsidR="0037645B" w:rsidRPr="007A6001" w:rsidRDefault="0037645B" w:rsidP="0037645B">
      <w:pPr>
        <w:widowControl w:val="0"/>
        <w:ind w:left="709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1F70E6" w14:textId="4D70E0AA" w:rsidR="006E1A65" w:rsidRPr="007A6001" w:rsidRDefault="006E1A65" w:rsidP="0026064B">
      <w:pPr>
        <w:widowControl w:val="0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Уставни основ за доношење </w:t>
      </w:r>
      <w:r w:rsidR="007A6001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>акона садржан је у</w:t>
      </w:r>
      <w:r w:rsidR="005C3AB5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одредби члана 97. став 1. тач.</w:t>
      </w:r>
      <w:r w:rsidR="00624BD0">
        <w:rPr>
          <w:rFonts w:ascii="Times New Roman" w:hAnsi="Times New Roman" w:cs="Times New Roman"/>
          <w:sz w:val="24"/>
          <w:szCs w:val="24"/>
          <w:lang w:val="sr-Cyrl-CS"/>
        </w:rPr>
        <w:t xml:space="preserve"> 6) и 7)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Устава Републике Србије, којима је предвиђено да Република Србија уређује и обезбеђује, између осталог, јединствено тржиште, правни положај привредних субјеката, систем обављања појединих привредних и других делатности, банкарски и девизни систем, својинске и облигационе односе и заштиту свих облика својине.</w:t>
      </w:r>
    </w:p>
    <w:p w14:paraId="1F3AE9DE" w14:textId="77777777" w:rsidR="006E1A65" w:rsidRPr="007A6001" w:rsidRDefault="006E1A65" w:rsidP="0046607C">
      <w:pPr>
        <w:widowControl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22AB9F9" w14:textId="77777777" w:rsidR="006E1A65" w:rsidRPr="007A6001" w:rsidRDefault="00F83320" w:rsidP="0046607C">
      <w:pPr>
        <w:pStyle w:val="ListParagraph"/>
        <w:widowControl w:val="0"/>
        <w:numPr>
          <w:ilvl w:val="0"/>
          <w:numId w:val="1"/>
        </w:numPr>
        <w:ind w:hanging="11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РАЗЛОЗИ ЗА ДОНОШЕЊЕ ЗАКОНА</w:t>
      </w:r>
    </w:p>
    <w:p w14:paraId="2C2D5482" w14:textId="77777777" w:rsidR="006E1A65" w:rsidRPr="007A6001" w:rsidRDefault="006E1A65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620FCAE7" w14:textId="69AC4E42" w:rsidR="006E1A65" w:rsidRPr="007A6001" w:rsidRDefault="00C67923" w:rsidP="00C67923">
      <w:pPr>
        <w:spacing w:after="200"/>
        <w:ind w:firstLine="68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Зa</w:t>
      </w:r>
      <w:r w:rsidRPr="00C67923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proofErr w:type="spellEnd"/>
      <w:r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792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E0D">
        <w:rPr>
          <w:rFonts w:ascii="Times New Roman" w:hAnsi="Times New Roman" w:cs="Times New Roman"/>
          <w:sz w:val="24"/>
          <w:szCs w:val="24"/>
          <w:lang w:val="sr-Cyrl-RS"/>
        </w:rPr>
        <w:t>(„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C6792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73</w:t>
      </w:r>
      <w:r w:rsidRPr="00C67923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</w:rPr>
        <w:t>19</w:t>
      </w:r>
      <w:r w:rsidR="00183E0D">
        <w:rPr>
          <w:rFonts w:ascii="Times New Roman" w:hAnsi="Times New Roman" w:cs="Times New Roman"/>
          <w:sz w:val="24"/>
          <w:szCs w:val="24"/>
          <w:lang w:val="sr-Cyrl-RS"/>
        </w:rPr>
        <w:t>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који је Народна скупштина Републике Србије</w:t>
      </w:r>
      <w:r w:rsidR="00EA3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усвојила на седни</w:t>
      </w:r>
      <w:r w:rsidR="00C1535D">
        <w:rPr>
          <w:rFonts w:ascii="Times New Roman" w:hAnsi="Times New Roman" w:cs="Times New Roman"/>
          <w:sz w:val="24"/>
          <w:szCs w:val="24"/>
          <w:lang w:val="sr-Cyrl-CS"/>
        </w:rPr>
        <w:t>ци 10. октобра 2019. године, ст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 xml:space="preserve">упио је на снагу </w:t>
      </w:r>
      <w:r w:rsidR="00C1535D">
        <w:rPr>
          <w:rFonts w:ascii="Times New Roman" w:hAnsi="Times New Roman" w:cs="Times New Roman"/>
          <w:sz w:val="24"/>
          <w:szCs w:val="24"/>
          <w:lang w:val="sr-Cyrl-CS"/>
        </w:rPr>
        <w:t>ос</w:t>
      </w:r>
      <w:r w:rsidR="00C85D61">
        <w:rPr>
          <w:rFonts w:ascii="Times New Roman" w:hAnsi="Times New Roman" w:cs="Times New Roman"/>
          <w:sz w:val="24"/>
          <w:szCs w:val="24"/>
          <w:lang w:val="sr-Cyrl-CS"/>
        </w:rPr>
        <w:t>мог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</w:t>
      </w:r>
      <w:r w:rsidR="003E6B3B">
        <w:rPr>
          <w:rFonts w:ascii="Times New Roman" w:hAnsi="Times New Roman" w:cs="Times New Roman"/>
          <w:sz w:val="24"/>
          <w:szCs w:val="24"/>
          <w:lang w:val="sr-Cyrl-CS"/>
        </w:rPr>
        <w:t>дана о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бјављивања у Службеном гласнику</w:t>
      </w:r>
      <w:r w:rsidR="00C1535D">
        <w:rPr>
          <w:rFonts w:ascii="Times New Roman" w:hAnsi="Times New Roman" w:cs="Times New Roman"/>
          <w:sz w:val="24"/>
          <w:szCs w:val="24"/>
          <w:lang w:val="sr-Cyrl-CS"/>
        </w:rPr>
        <w:t xml:space="preserve"> РС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 xml:space="preserve">, а почео је </w:t>
      </w:r>
      <w:r w:rsidR="002105FC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са применом 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21. априла 2020. године.</w:t>
      </w:r>
    </w:p>
    <w:p w14:paraId="12E7EB4B" w14:textId="7EB216F4" w:rsidR="006E1A65" w:rsidRDefault="00EA3431" w:rsidP="00997F07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>Разлози за доношење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Зa</w:t>
      </w:r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r w:rsidR="00024186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425" w:rsidRPr="00C6792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932">
        <w:rPr>
          <w:rFonts w:ascii="Times New Roman" w:hAnsi="Times New Roman" w:cs="Times New Roman"/>
          <w:sz w:val="24"/>
          <w:szCs w:val="24"/>
          <w:lang w:val="sr-Cyrl-CS"/>
        </w:rPr>
        <w:t xml:space="preserve">били 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су бројни, а два се могу посебно истаћи:  унапређење и развој тржишта капитала 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последично допри</w:t>
      </w:r>
      <w:r w:rsidR="002105FC">
        <w:rPr>
          <w:rFonts w:ascii="Times New Roman" w:hAnsi="Times New Roman" w:cs="Times New Roman"/>
          <w:sz w:val="24"/>
          <w:szCs w:val="24"/>
          <w:lang w:val="sr-Cyrl-CS"/>
        </w:rPr>
        <w:t>носи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развоју </w:t>
      </w:r>
      <w:proofErr w:type="spellStart"/>
      <w:r w:rsidRPr="007A6001">
        <w:rPr>
          <w:rFonts w:ascii="Times New Roman" w:hAnsi="Times New Roman" w:cs="Times New Roman"/>
          <w:sz w:val="24"/>
          <w:szCs w:val="24"/>
          <w:lang w:val="sr-Cyrl-CS"/>
        </w:rPr>
        <w:t>економијe</w:t>
      </w:r>
      <w:proofErr w:type="spellEnd"/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Републике Србије, као и процес придруживања Републике Србије Европској унији (у даљем тексту: ЕУ). </w:t>
      </w:r>
    </w:p>
    <w:p w14:paraId="1D94CB47" w14:textId="0B4F99E4" w:rsidR="006870F1" w:rsidRDefault="006870F1" w:rsidP="006870F1">
      <w:pPr>
        <w:ind w:right="27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83E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циљу дефинисања најцелисходнијих одредаба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сада </w:t>
      </w:r>
      <w:r w:rsidRPr="00183E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важећег закона којим је извршено усклађивање са прописима Европске уније, домаћим прописима и условима на домаћем тржишту, </w:t>
      </w:r>
      <w:r w:rsidRPr="00183E0D">
        <w:rPr>
          <w:rFonts w:ascii="Times New Roman" w:hAnsi="Times New Roman" w:cs="Times New Roman"/>
          <w:sz w:val="24"/>
          <w:szCs w:val="24"/>
          <w:lang w:val="sr-Cyrl-RS"/>
        </w:rPr>
        <w:t>била је</w:t>
      </w:r>
      <w:r w:rsidRPr="00183E0D">
        <w:rPr>
          <w:rFonts w:ascii="Times New Roman" w:hAnsi="Times New Roman" w:cs="Times New Roman"/>
          <w:sz w:val="24"/>
          <w:szCs w:val="24"/>
          <w:lang w:val="sr-Latn-RS"/>
        </w:rPr>
        <w:t xml:space="preserve"> образована Радна група за израду Нацрта закона о изменама и допунама Закона о инвестиционим фондовима и Нацрт</w:t>
      </w:r>
      <w:r w:rsidRPr="00183E0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83E0D">
        <w:rPr>
          <w:rFonts w:ascii="Times New Roman" w:hAnsi="Times New Roman" w:cs="Times New Roman"/>
          <w:sz w:val="24"/>
          <w:szCs w:val="24"/>
          <w:lang w:val="sr-Latn-RS"/>
        </w:rPr>
        <w:t xml:space="preserve"> закона о алтернативним инвестиционим фондовима</w:t>
      </w:r>
      <w:r w:rsidRPr="00183E0D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је </w:t>
      </w:r>
      <w:r w:rsidRPr="00183E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активно учешће узело је </w:t>
      </w:r>
      <w:r w:rsidRPr="00183E0D">
        <w:rPr>
          <w:rFonts w:ascii="Times New Roman" w:hAnsi="Times New Roman" w:cs="Times New Roman"/>
          <w:bCs/>
          <w:sz w:val="24"/>
          <w:szCs w:val="24"/>
          <w:lang w:val="sr-Latn-RS"/>
        </w:rPr>
        <w:t>13</w:t>
      </w:r>
      <w:r w:rsidRPr="00183E0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институција и представника приватног сектора.</w:t>
      </w:r>
      <w:r w:rsidRPr="00183E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56281B3" w14:textId="13BE9993" w:rsidR="00D56174" w:rsidRPr="007A6001" w:rsidRDefault="00A353B3" w:rsidP="00602076">
      <w:pPr>
        <w:ind w:right="27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део одредаба</w:t>
      </w:r>
      <w:r w:rsidR="00D56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Зa</w:t>
      </w:r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0425" w:rsidRPr="00C6792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425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510425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174">
        <w:rPr>
          <w:rFonts w:ascii="Times New Roman" w:hAnsi="Times New Roman" w:cs="Times New Roman"/>
          <w:sz w:val="24"/>
          <w:szCs w:val="24"/>
          <w:lang w:val="sr-Cyrl-RS"/>
        </w:rPr>
        <w:t xml:space="preserve">је припремљен као резултат разматрања </w:t>
      </w:r>
      <w:r w:rsidR="00D56174" w:rsidRPr="00AB03BC">
        <w:rPr>
          <w:rFonts w:ascii="Times New Roman" w:hAnsi="Times New Roman" w:cs="Times New Roman"/>
          <w:sz w:val="24"/>
          <w:szCs w:val="24"/>
          <w:lang w:val="sr-Cyrl-RS"/>
        </w:rPr>
        <w:t>пристиглих иницијатива из приватног сектора којима је тражено да се измене одредбе закона које уређују улагање имовине инвестиционог фонда</w:t>
      </w:r>
      <w:r w:rsidR="00D56174" w:rsidRPr="00AB03B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56174" w:rsidRPr="00AB03BC">
        <w:rPr>
          <w:rFonts w:ascii="Times New Roman" w:hAnsi="Times New Roman" w:cs="Times New Roman"/>
          <w:sz w:val="24"/>
          <w:szCs w:val="24"/>
          <w:lang w:val="sr-Cyrl-RS"/>
        </w:rPr>
        <w:t xml:space="preserve"> ограничења улагања те имовине, форме и структуре организовања фондова, као и могућност улагања у </w:t>
      </w:r>
      <w:r w:rsidR="00D56174" w:rsidRPr="00AB03BC">
        <w:rPr>
          <w:rFonts w:ascii="Times New Roman" w:hAnsi="Times New Roman" w:cs="Times New Roman"/>
          <w:sz w:val="24"/>
          <w:szCs w:val="24"/>
          <w:lang w:val="sr-Cyrl-CS"/>
        </w:rPr>
        <w:t>девизама</w:t>
      </w:r>
      <w:r w:rsidR="00D56174" w:rsidRPr="00AB03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24B8CC80" w14:textId="5667DC41" w:rsidR="00D005E3" w:rsidRPr="00C67923" w:rsidRDefault="00602076" w:rsidP="00D005E3">
      <w:pPr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Такође, у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t xml:space="preserve"> оквиру процеса приступања Републике Србије </w:t>
      </w:r>
      <w:r w:rsidR="00DC363B" w:rsidRPr="00C67923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7A6001" w:rsidRPr="00C67923">
        <w:rPr>
          <w:rFonts w:ascii="Times New Roman" w:hAnsi="Times New Roman" w:cs="Times New Roman"/>
          <w:sz w:val="24"/>
          <w:szCs w:val="24"/>
          <w:lang w:val="sr-Cyrl-CS"/>
        </w:rPr>
        <w:t>вропској унији</w:t>
      </w:r>
      <w:r w:rsidR="00DC363B" w:rsidRPr="00C679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t xml:space="preserve">и Преговарачке позиције Републике Србије за Поглавље 9 „Финансијске услугеˮ, Република Србија је, између осталог, преузела обавезу да транспонује 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>Директиву 2009/65/EС Европског парламента и Савета, од 13. јула 2009. године, о координацији закона, прописа и административних одредби које се односе на подухвате везане за колективне инвестиције у преносиве хартије од вредности (</w:t>
      </w:r>
      <w:r w:rsidR="00C67923" w:rsidRPr="00C67923">
        <w:rPr>
          <w:rFonts w:ascii="Times New Roman" w:hAnsi="Times New Roman" w:cs="Times New Roman"/>
          <w:sz w:val="24"/>
          <w:szCs w:val="24"/>
          <w:lang w:val="en-GB"/>
        </w:rPr>
        <w:t>Directive 2009/65/EC of the European Parliament and of the Council of 13 July 2009 on the coordination of laws, regulations and administrative provisions relating to undertakings for collective investment in transferable securities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>) и Директив</w:t>
      </w:r>
      <w:r w:rsidR="00C679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2014/91/EУ 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>Европског парламента и Савета, од 23. јула 2014. године</w:t>
      </w:r>
      <w:r w:rsidR="00C67923" w:rsidRPr="00C67923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измeни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Дирeктивe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2009/65/EЗ у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пoглeду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пoслoвa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дeпoзитaрa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,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пoлитикa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нaгрa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  <w:lang w:val="sr-Cyrl-RS"/>
        </w:rPr>
        <w:t>ђ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ивaњa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и </w:t>
      </w:r>
      <w:proofErr w:type="spellStart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>сaнкциja</w:t>
      </w:r>
      <w:proofErr w:type="spellEnd"/>
      <w:r w:rsidR="00C67923" w:rsidRPr="00C67923">
        <w:rPr>
          <w:rFonts w:ascii="Times New Roman" w:eastAsia="EUAlbertina" w:hAnsi="Times New Roman" w:cs="Times New Roman"/>
          <w:sz w:val="24"/>
          <w:szCs w:val="24"/>
        </w:rPr>
        <w:t xml:space="preserve"> </w:t>
      </w:r>
      <w:r w:rsidR="00C67923" w:rsidRPr="00C67923">
        <w:rPr>
          <w:rFonts w:ascii="Times New Roman" w:hAnsi="Times New Roman" w:cs="Times New Roman"/>
          <w:sz w:val="24"/>
          <w:szCs w:val="24"/>
          <w:lang w:val="sr-Cyrl-RS"/>
        </w:rPr>
        <w:t>које уређују институције за колективно улагање у преносиве хартије од вредности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t xml:space="preserve">, у национални правни оквир Републике Србије, 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доношењем </w:t>
      </w:r>
      <w:r w:rsidR="005F0ADA" w:rsidRPr="00C67923">
        <w:rPr>
          <w:rFonts w:ascii="Times New Roman" w:hAnsi="Times New Roman" w:cs="Times New Roman"/>
          <w:sz w:val="24"/>
          <w:szCs w:val="24"/>
          <w:lang w:val="sr-Cyrl-CS"/>
        </w:rPr>
        <w:t>посебног з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5F0ADA" w:rsidRPr="00C67923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уређују </w:t>
      </w:r>
      <w:r w:rsidR="00C67923">
        <w:rPr>
          <w:rFonts w:ascii="Times New Roman" w:hAnsi="Times New Roman" w:cs="Times New Roman"/>
          <w:sz w:val="24"/>
          <w:szCs w:val="24"/>
          <w:lang w:val="sr-Cyrl-CS"/>
        </w:rPr>
        <w:t>отворени инвестициони фондо</w:t>
      </w:r>
      <w:r w:rsidR="0046778A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C67923">
        <w:rPr>
          <w:rFonts w:ascii="Times New Roman" w:hAnsi="Times New Roman" w:cs="Times New Roman"/>
          <w:sz w:val="24"/>
          <w:szCs w:val="24"/>
          <w:lang w:val="sr-Cyrl-CS"/>
        </w:rPr>
        <w:t>и са јавном понудом</w:t>
      </w:r>
      <w:r w:rsidR="00D005E3" w:rsidRPr="00C679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FF95C84" w14:textId="64DE8717" w:rsidR="00894358" w:rsidRDefault="00183E0D" w:rsidP="00A53B47">
      <w:pPr>
        <w:ind w:firstLine="720"/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</w:pP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Зa</w:t>
      </w:r>
      <w:r w:rsidRPr="00C67923">
        <w:rPr>
          <w:rFonts w:ascii="Times New Roman" w:hAnsi="Times New Roman" w:cs="Times New Roman"/>
          <w:sz w:val="24"/>
          <w:szCs w:val="24"/>
          <w:lang w:val="sr-Cyrl-RS"/>
        </w:rPr>
        <w:t>кон</w:t>
      </w:r>
      <w:proofErr w:type="spellEnd"/>
      <w:r w:rsidRPr="00C679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67923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између осталог уређује </w:t>
      </w:r>
      <w:r w:rsidR="000B168F">
        <w:rPr>
          <w:rFonts w:ascii="Times New Roman" w:hAnsi="Times New Roman" w:cs="Times New Roman"/>
          <w:sz w:val="24"/>
          <w:szCs w:val="24"/>
          <w:lang w:val="sr-Cyrl-RS"/>
        </w:rPr>
        <w:t>да друштво</w:t>
      </w:r>
      <w:r w:rsidR="00562F8D">
        <w:rPr>
          <w:rFonts w:ascii="Times New Roman" w:hAnsi="Times New Roman" w:cs="Times New Roman"/>
          <w:sz w:val="24"/>
          <w:szCs w:val="24"/>
          <w:lang w:val="sr-Cyrl-RS"/>
        </w:rPr>
        <w:t xml:space="preserve"> за управљање води регистар инвестиционих јединица и евидентира сваку промену у располагању и да Комисија за хартије од вредности прописује организовање и вођење регистра инвестиционих јединица, као и објављивање података из регистра. Исто тако, овај закон уређује</w:t>
      </w:r>
      <w:r w:rsidR="00562F8D" w:rsidRPr="00562F8D">
        <w:rPr>
          <w:rFonts w:ascii="Times New Roman" w:hAnsi="Times New Roman" w:cs="Times New Roman"/>
          <w:sz w:val="24"/>
          <w:szCs w:val="24"/>
          <w:lang w:val="sr-Cyrl-RS"/>
        </w:rPr>
        <w:t xml:space="preserve"> да и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малац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инвестиционих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има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располаже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својим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инвестиционим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јединицама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тако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што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их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преносити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или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оптеретити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основу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уредне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документације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која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представља</w:t>
      </w:r>
      <w:proofErr w:type="spellEnd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 w:rsidRP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пр</w:t>
      </w:r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авни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такво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располагање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а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посебним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чланом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су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уређени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терети</w:t>
      </w:r>
      <w:proofErr w:type="spellEnd"/>
      <w:r w:rsidR="00A53B47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/залога</w:t>
      </w:r>
      <w:r w:rsidR="002C16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2C167D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инвестиционом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јединицом</w:t>
      </w:r>
      <w:proofErr w:type="spellEnd"/>
      <w:r w:rsidR="00562F8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62F8D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 xml:space="preserve"> Међутим, </w:t>
      </w:r>
      <w:r w:rsidR="00894358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у практичној примени се јавила потреба организовања централизованог регистра залоге на</w:t>
      </w:r>
      <w:r w:rsidR="002E0BCF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инвестиционим</w:t>
      </w:r>
      <w:r w:rsidR="00894358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јединицама</w:t>
      </w:r>
      <w:r w:rsidR="002E0BCF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који би </w:t>
      </w:r>
      <w:r w:rsidR="00BB330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евентуално </w:t>
      </w:r>
      <w:r w:rsidR="002E0BCF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доприне</w:t>
      </w:r>
      <w:r w:rsidR="00562F8D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о</w:t>
      </w:r>
      <w:r w:rsidR="002E0BCF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већој правној сигурности, транспар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ентности и ефикаснијем измирењу, а самим тим и атрактивности овог финансијског инструмента за инвеститоре.</w:t>
      </w:r>
    </w:p>
    <w:p w14:paraId="699888C4" w14:textId="77777777" w:rsidR="00A61830" w:rsidRDefault="00A61830" w:rsidP="00A61830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00095">
        <w:rPr>
          <w:rFonts w:ascii="Times New Roman" w:hAnsi="Times New Roman" w:cs="Times New Roman"/>
          <w:sz w:val="24"/>
          <w:szCs w:val="24"/>
        </w:rPr>
        <w:t>Зaкoн</w:t>
      </w:r>
      <w:proofErr w:type="spellEnd"/>
      <w:r w:rsidRPr="0060009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00095">
        <w:rPr>
          <w:rFonts w:ascii="Times New Roman" w:hAnsi="Times New Roman" w:cs="Times New Roman"/>
          <w:sz w:val="24"/>
          <w:szCs w:val="24"/>
        </w:rPr>
        <w:t>тржишту</w:t>
      </w:r>
      <w:proofErr w:type="spellEnd"/>
      <w:r w:rsidRPr="00600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095">
        <w:rPr>
          <w:rFonts w:ascii="Times New Roman" w:hAnsi="Times New Roman" w:cs="Times New Roman"/>
          <w:sz w:val="24"/>
          <w:szCs w:val="24"/>
        </w:rPr>
        <w:t>кaпитaлa</w:t>
      </w:r>
      <w:proofErr w:type="spellEnd"/>
      <w:r w:rsidRPr="00600095">
        <w:rPr>
          <w:rFonts w:ascii="Times New Roman" w:hAnsi="Times New Roman" w:cs="Times New Roman"/>
          <w:sz w:val="24"/>
          <w:szCs w:val="24"/>
        </w:rPr>
        <w:t xml:space="preserve"> (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60009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600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095">
        <w:rPr>
          <w:rFonts w:ascii="Times New Roman" w:hAnsi="Times New Roman" w:cs="Times New Roman"/>
          <w:sz w:val="24"/>
          <w:szCs w:val="24"/>
        </w:rPr>
        <w:t>глaсник</w:t>
      </w:r>
      <w:proofErr w:type="spellEnd"/>
      <w:r w:rsidRPr="00600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095">
        <w:rPr>
          <w:rFonts w:ascii="Times New Roman" w:hAnsi="Times New Roman" w:cs="Times New Roman"/>
          <w:sz w:val="24"/>
          <w:szCs w:val="24"/>
        </w:rPr>
        <w:t>РС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 w:rsidRPr="00600095">
        <w:rPr>
          <w:rFonts w:ascii="Times New Roman" w:hAnsi="Times New Roman" w:cs="Times New Roman"/>
          <w:sz w:val="24"/>
          <w:szCs w:val="24"/>
        </w:rPr>
        <w:t xml:space="preserve">, 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600095">
        <w:rPr>
          <w:rFonts w:ascii="Times New Roman" w:hAnsi="Times New Roman" w:cs="Times New Roman"/>
          <w:sz w:val="24"/>
          <w:szCs w:val="24"/>
        </w:rPr>
        <w:t xml:space="preserve"> 129/21)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 xml:space="preserve"> прописује да је инвестициона јединица финансијски инструмент, а у складу са одредбама Главе I</w:t>
      </w:r>
      <w:r w:rsidRPr="00600095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која носи наслов „Заложно право на финансијским инструментима“, Централни регистар, депо и клиринг хартија од вредности води регистар заложног права на финансијким инструментима. Овим нацртом се прецизира да се и залога на инвестиционим јединицама води у јединственом регистру залоге на инвестиционим јединицама који води Централни регистар, депо и клиринг хартија од вредности</w:t>
      </w:r>
      <w:r w:rsidRPr="00600095">
        <w:rPr>
          <w:rFonts w:ascii="Times New Roman" w:hAnsi="Times New Roman" w:cs="Times New Roman"/>
          <w:sz w:val="24"/>
          <w:szCs w:val="24"/>
          <w:lang w:val="sr-Latn-RS"/>
        </w:rPr>
        <w:t>, a</w:t>
      </w:r>
      <w:r w:rsidRPr="00600095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тржишту капитала.</w:t>
      </w:r>
    </w:p>
    <w:p w14:paraId="6BC066D4" w14:textId="1F89486D" w:rsidR="0053434F" w:rsidRPr="00C64F30" w:rsidRDefault="00AA0FFC" w:rsidP="0053434F">
      <w:pPr>
        <w:widowControl w:val="0"/>
        <w:ind w:firstLine="720"/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</w:pPr>
      <w:r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Имајући у виду 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да би</w:t>
      </w:r>
      <w:r w:rsidR="002007A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већи број 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отворених</w:t>
      </w:r>
      <w:r w:rsidR="002007A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инвестиционих фондова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са јавном понудом </w:t>
      </w:r>
      <w:r w:rsidR="002007A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и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привлачење већег броја инвеститора који би улагали у ове фондове, </w:t>
      </w:r>
      <w:r w:rsidR="0053434F" w:rsidRPr="00C64F30">
        <w:rPr>
          <w:rFonts w:ascii="Times New Roman" w:hAnsi="Times New Roman" w:cs="Times New Roman"/>
          <w:sz w:val="24"/>
          <w:szCs w:val="24"/>
          <w:lang w:val="sr-Cyrl-CS"/>
        </w:rPr>
        <w:t>допринел</w:t>
      </w:r>
      <w:r w:rsidR="008441E4" w:rsidRPr="00C64F3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53434F" w:rsidRPr="00C64F30">
        <w:rPr>
          <w:rFonts w:ascii="Times New Roman" w:hAnsi="Times New Roman" w:cs="Times New Roman"/>
          <w:sz w:val="24"/>
          <w:szCs w:val="24"/>
          <w:lang w:val="sr-Cyrl-CS"/>
        </w:rPr>
        <w:t xml:space="preserve"> даљем развоју </w:t>
      </w:r>
      <w:r w:rsidR="00A53B47">
        <w:rPr>
          <w:rFonts w:ascii="Times New Roman" w:hAnsi="Times New Roman" w:cs="Times New Roman"/>
          <w:sz w:val="24"/>
          <w:szCs w:val="24"/>
          <w:lang w:val="sr-Cyrl-CS"/>
        </w:rPr>
        <w:t xml:space="preserve">индустрије фондова и 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домаћег тржишта капитала, као и привреде уопште, Министарство финансија је</w:t>
      </w:r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, </w:t>
      </w:r>
      <w:proofErr w:type="spellStart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>заједно</w:t>
      </w:r>
      <w:proofErr w:type="spellEnd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 </w:t>
      </w:r>
      <w:proofErr w:type="spellStart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>са</w:t>
      </w:r>
      <w:proofErr w:type="spellEnd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 </w:t>
      </w:r>
      <w:proofErr w:type="spellStart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>релевантним</w:t>
      </w:r>
      <w:proofErr w:type="spellEnd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 </w:t>
      </w:r>
      <w:proofErr w:type="spellStart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>институцијама</w:t>
      </w:r>
      <w:proofErr w:type="spellEnd"/>
      <w:r w:rsidR="00BD3E57"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, 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размотрило примљену</w:t>
      </w:r>
      <w:r w:rsidR="0049304C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иницијативу од учесника на тржишту</w:t>
      </w:r>
      <w:r w:rsidR="0049304C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и 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припремило Нацрт закона о изменама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и допунама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Закона о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="00A53B47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="00A53B47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="00A53B47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53B47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A53B47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47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421211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(у даљем тексту: Закон)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којим се</w:t>
      </w:r>
      <w:r w:rsidR="008441E4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A53B4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прецизира вођење регистра залоге на инвестиционим јединицама</w:t>
      </w:r>
      <w:r w:rsidR="0053434F" w:rsidRPr="00C64F30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. </w:t>
      </w:r>
    </w:p>
    <w:p w14:paraId="30362A10" w14:textId="77777777" w:rsidR="00997F07" w:rsidRPr="007A6001" w:rsidRDefault="00997F07" w:rsidP="00997F07">
      <w:pPr>
        <w:pStyle w:val="ListParagraph"/>
        <w:widowControl w:val="0"/>
        <w:tabs>
          <w:tab w:val="left" w:pos="3300"/>
        </w:tabs>
        <w:ind w:left="1757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F871C5" w14:textId="77777777" w:rsidR="00F83320" w:rsidRPr="007A6001" w:rsidRDefault="00F83320" w:rsidP="00F83320">
      <w:pPr>
        <w:pStyle w:val="ListParagraph"/>
        <w:widowControl w:val="0"/>
        <w:numPr>
          <w:ilvl w:val="0"/>
          <w:numId w:val="1"/>
        </w:numPr>
        <w:ind w:left="567"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ОБЈАШЊЕЊЕ ОСНОВНИХ ПРАВНИХ ИНСТИТУТА И ПОЈЕДИНАЧНИХ РЕШЕЊА</w:t>
      </w:r>
    </w:p>
    <w:p w14:paraId="7FE02AEF" w14:textId="77777777" w:rsidR="00E81656" w:rsidRPr="001D6B39" w:rsidRDefault="00F06687" w:rsidP="001D6B39">
      <w:pPr>
        <w:widowControl w:val="0"/>
        <w:ind w:firstLine="720"/>
        <w:rPr>
          <w:rFonts w:eastAsia="CTimesRoman"/>
          <w:bCs/>
          <w:sz w:val="24"/>
          <w:szCs w:val="24"/>
          <w:lang w:val="sr-Cyrl-RS" w:eastAsia="en-GB"/>
        </w:rPr>
      </w:pPr>
      <w:r w:rsidRPr="001D6B39">
        <w:rPr>
          <w:rFonts w:eastAsia="CTimesRoman"/>
          <w:bCs/>
          <w:sz w:val="24"/>
          <w:szCs w:val="24"/>
          <w:lang w:val="sr-Cyrl-RS" w:eastAsia="en-GB"/>
        </w:rPr>
        <w:tab/>
      </w:r>
    </w:p>
    <w:p w14:paraId="26691260" w14:textId="485CCCAD" w:rsidR="0005346C" w:rsidRPr="004579ED" w:rsidRDefault="0005346C" w:rsidP="0005346C">
      <w:pPr>
        <w:shd w:val="clear" w:color="auto" w:fill="FFFFFF"/>
        <w:spacing w:after="150" w:line="240" w:lineRule="auto"/>
        <w:ind w:firstLine="567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="00E81656"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Чл</w:t>
      </w:r>
      <w:r w:rsidR="00BB330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аном 1. врши се измена у члану 48. став 4</w:t>
      </w:r>
      <w:r w:rsidR="00E81656"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. Закона </w:t>
      </w:r>
      <w:r w:rsidR="00BB3307" w:rsidRPr="0017303C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отвореним</w:t>
      </w:r>
      <w:proofErr w:type="spellEnd"/>
      <w:r w:rsidR="00BB3307" w:rsidRPr="00173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инвестиционим</w:t>
      </w:r>
      <w:proofErr w:type="spellEnd"/>
      <w:r w:rsidR="00BB3307" w:rsidRPr="00173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фондовима</w:t>
      </w:r>
      <w:proofErr w:type="spellEnd"/>
      <w:r w:rsidR="00BB3307" w:rsidRPr="00173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са</w:t>
      </w:r>
      <w:proofErr w:type="spellEnd"/>
      <w:r w:rsidR="00BB3307" w:rsidRPr="00173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јавном</w:t>
      </w:r>
      <w:proofErr w:type="spellEnd"/>
      <w:r w:rsidR="00BB3307" w:rsidRPr="00173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307" w:rsidRPr="0017303C">
        <w:rPr>
          <w:rFonts w:ascii="Times New Roman" w:hAnsi="Times New Roman"/>
          <w:sz w:val="24"/>
          <w:szCs w:val="24"/>
        </w:rPr>
        <w:t>понудом</w:t>
      </w:r>
      <w:proofErr w:type="spellEnd"/>
      <w:r w:rsidR="00BB33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1656"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којом се </w:t>
      </w:r>
      <w:r w:rsidR="00BB330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уводи могућност да</w:t>
      </w:r>
      <w:r w:rsidRPr="000534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друштво за управљање може водити инвестиционе јединице у регистру инвестиционих јединица </w:t>
      </w: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УЦИТС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фондa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води само друштво за управљање </w:t>
      </w:r>
      <w:r w:rsidRPr="00E358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или </w:t>
      </w:r>
      <w:r w:rsidR="00345DE3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proofErr w:type="spellStart"/>
      <w:r w:rsidRPr="00E358AF">
        <w:rPr>
          <w:rFonts w:ascii="Times New Roman" w:eastAsia="Times New Roman" w:hAnsi="Times New Roman" w:cs="Times New Roman"/>
          <w:sz w:val="24"/>
          <w:szCs w:val="24"/>
        </w:rPr>
        <w:t>ентрални</w:t>
      </w:r>
      <w:proofErr w:type="spellEnd"/>
      <w:r w:rsidRPr="00E35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58AF">
        <w:rPr>
          <w:rFonts w:ascii="Times New Roman" w:eastAsia="Times New Roman" w:hAnsi="Times New Roman" w:cs="Times New Roman"/>
          <w:sz w:val="24"/>
          <w:szCs w:val="24"/>
        </w:rPr>
        <w:t>регистар</w:t>
      </w:r>
      <w:proofErr w:type="spellEnd"/>
      <w:r w:rsidR="00345DE3">
        <w:rPr>
          <w:rFonts w:ascii="Times New Roman" w:eastAsia="Times New Roman" w:hAnsi="Times New Roman" w:cs="Times New Roman"/>
          <w:sz w:val="24"/>
          <w:szCs w:val="24"/>
          <w:lang w:val="sr-Cyrl-RS"/>
        </w:rPr>
        <w:t>, депо и клиринг хартија од вредности</w:t>
      </w:r>
      <w:r w:rsidRPr="00E358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79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Истим ч</w:t>
      </w:r>
      <w:r w:rsidR="0068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ланом се додају и нови ст. </w:t>
      </w:r>
      <w:bookmarkStart w:id="0" w:name="_GoBack"/>
      <w:bookmarkEnd w:id="0"/>
      <w:r w:rsidR="00685585">
        <w:rPr>
          <w:rFonts w:ascii="Times New Roman" w:eastAsia="Times New Roman" w:hAnsi="Times New Roman" w:cs="Times New Roman"/>
          <w:sz w:val="24"/>
          <w:szCs w:val="24"/>
          <w:lang w:val="sr-Cyrl-RS"/>
        </w:rPr>
        <w:t>5 и 6</w:t>
      </w:r>
      <w:r w:rsidR="004579ED">
        <w:rPr>
          <w:rFonts w:ascii="Times New Roman" w:eastAsia="Times New Roman" w:hAnsi="Times New Roman" w:cs="Times New Roman"/>
          <w:sz w:val="24"/>
          <w:szCs w:val="24"/>
          <w:lang w:val="sr-Cyrl-RS"/>
        </w:rPr>
        <w:t>. којима се уређује која лица имају приступ подацима из регистра инвестиционих јединица УЦИТС фонда.</w:t>
      </w:r>
    </w:p>
    <w:p w14:paraId="5DBA011D" w14:textId="202895D0" w:rsidR="00BB3307" w:rsidRDefault="00E81656" w:rsidP="00BB3307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Чланом 2. </w:t>
      </w:r>
      <w:r w:rsidR="00BB3307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у члану 54. </w:t>
      </w:r>
      <w:r w:rsidR="00BB3307">
        <w:rPr>
          <w:rFonts w:ascii="Times New Roman" w:hAnsi="Times New Roman"/>
          <w:sz w:val="24"/>
          <w:szCs w:val="24"/>
          <w:lang w:val="sr-Cyrl-RS"/>
        </w:rPr>
        <w:t xml:space="preserve">после става 1. додаје се нови став 2. којим се прописује да </w:t>
      </w:r>
    </w:p>
    <w:p w14:paraId="27AD9A9E" w14:textId="3AF15A81" w:rsidR="00BB3307" w:rsidRDefault="004579ED" w:rsidP="00BB3307">
      <w:pPr>
        <w:spacing w:line="259" w:lineRule="auto"/>
        <w:rPr>
          <w:rFonts w:ascii="Times New Roman" w:eastAsia="Calibri" w:hAnsi="Times New Roman"/>
          <w:sz w:val="24"/>
          <w:szCs w:val="24"/>
          <w:lang w:val="sr-Cyrl-RS"/>
        </w:rPr>
      </w:pPr>
      <w:r w:rsidRPr="004579ED">
        <w:rPr>
          <w:rFonts w:ascii="Times New Roman" w:eastAsia="Calibri" w:hAnsi="Times New Roman"/>
          <w:sz w:val="24"/>
          <w:szCs w:val="24"/>
          <w:lang w:val="sr-Cyrl-RS"/>
        </w:rPr>
        <w:t>д</w:t>
      </w:r>
      <w:r w:rsidR="00BB3307" w:rsidRPr="004579ED">
        <w:rPr>
          <w:rFonts w:ascii="Times New Roman" w:eastAsia="Calibri" w:hAnsi="Times New Roman"/>
          <w:sz w:val="24"/>
          <w:szCs w:val="24"/>
          <w:lang w:val="sr-Cyrl-RS"/>
        </w:rPr>
        <w:t xml:space="preserve">руштво за управљање уписује заложно право на инвестиционој јединици у Регистар заложног права на </w:t>
      </w:r>
      <w:r w:rsidRPr="004579ED">
        <w:rPr>
          <w:rFonts w:ascii="Times New Roman" w:eastAsia="Calibri" w:hAnsi="Times New Roman"/>
          <w:sz w:val="24"/>
          <w:szCs w:val="24"/>
          <w:lang w:val="sr-Cyrl-RS"/>
        </w:rPr>
        <w:t>ивестиционим јединицама</w:t>
      </w:r>
      <w:r w:rsidR="00BB3307" w:rsidRPr="004579ED">
        <w:rPr>
          <w:rFonts w:ascii="Times New Roman" w:eastAsia="Calibri" w:hAnsi="Times New Roman"/>
          <w:sz w:val="24"/>
          <w:szCs w:val="24"/>
          <w:lang w:val="sr-Cyrl-RS"/>
        </w:rPr>
        <w:t xml:space="preserve"> који води Централни регистар, депо и клиринг хартија од вредности</w:t>
      </w:r>
      <w:r w:rsidR="00E272E5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14:paraId="771AA896" w14:textId="73149449" w:rsidR="004579ED" w:rsidRDefault="00691749" w:rsidP="00BB3307">
      <w:pPr>
        <w:spacing w:line="259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  <w:t>Чланом 3. се пропису</w:t>
      </w:r>
      <w:r w:rsidR="004579ED">
        <w:rPr>
          <w:rFonts w:ascii="Times New Roman" w:eastAsia="Calibri" w:hAnsi="Times New Roman"/>
          <w:sz w:val="24"/>
          <w:szCs w:val="24"/>
          <w:lang w:val="sr-Cyrl-RS"/>
        </w:rPr>
        <w:t>је рок у коме ће Комисија донет</w:t>
      </w:r>
      <w:r w:rsidR="00F01A38">
        <w:rPr>
          <w:rFonts w:ascii="Times New Roman" w:eastAsia="Calibri" w:hAnsi="Times New Roman"/>
          <w:sz w:val="24"/>
          <w:szCs w:val="24"/>
          <w:lang w:val="sr-Cyrl-RS"/>
        </w:rPr>
        <w:t>и подзаконска акта за спровођењ</w:t>
      </w:r>
      <w:r w:rsidR="004579ED">
        <w:rPr>
          <w:rFonts w:ascii="Times New Roman" w:eastAsia="Calibri" w:hAnsi="Times New Roman"/>
          <w:sz w:val="24"/>
          <w:szCs w:val="24"/>
          <w:lang w:val="sr-Cyrl-RS"/>
        </w:rPr>
        <w:t>е овог закона.</w:t>
      </w:r>
    </w:p>
    <w:p w14:paraId="621640AF" w14:textId="51E54D29" w:rsidR="004579ED" w:rsidRDefault="004579ED" w:rsidP="00BB3307">
      <w:pPr>
        <w:spacing w:line="259" w:lineRule="auto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lastRenderedPageBreak/>
        <w:tab/>
        <w:t xml:space="preserve">Чланом 4. се прописује рок у коме ће се </w:t>
      </w:r>
      <w:r w:rsidRPr="00D117B2">
        <w:rPr>
          <w:rFonts w:ascii="Times New Roman" w:eastAsia="Calibri" w:hAnsi="Times New Roman"/>
          <w:sz w:val="24"/>
          <w:szCs w:val="24"/>
          <w:lang w:val="sr-Cyrl-RS"/>
        </w:rPr>
        <w:t>Централни регистар, депо и клиринг хартија од вредности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организовати и ускладити своја акта са одредбама овог закона.</w:t>
      </w:r>
    </w:p>
    <w:p w14:paraId="64CDFC87" w14:textId="4B594E50" w:rsidR="005219FB" w:rsidRPr="00510425" w:rsidRDefault="005219FB" w:rsidP="005219FB">
      <w:pPr>
        <w:spacing w:line="259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Чланом 5</w:t>
      </w:r>
      <w:r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. се прописује</w:t>
      </w:r>
      <w:r>
        <w:rPr>
          <w:rFonts w:ascii="Times New Roman" w:eastAsia="CTimesRoman" w:hAnsi="Times New Roman" w:cs="Times New Roman"/>
          <w:bCs/>
          <w:sz w:val="24"/>
          <w:szCs w:val="24"/>
          <w:lang w:val="sr-Latn-RS" w:eastAsia="en-GB"/>
        </w:rPr>
        <w:t xml:space="preserve"> </w:t>
      </w:r>
      <w:r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да је </w:t>
      </w:r>
      <w:r w:rsidR="00EA310B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друштво за управљање дужно да у Регистар залоге на инвестиционим јединицама који се води код Централног регистра, депо и клиринга хартија од вредности упише залоге које су</w:t>
      </w:r>
      <w:r w:rsidR="008D573B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у</w:t>
      </w:r>
      <w:r w:rsidR="00EA310B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 претходном периоду уписане у регистру инвестиционих јединица које само води.</w:t>
      </w:r>
    </w:p>
    <w:p w14:paraId="3E94068B" w14:textId="3881F7C6" w:rsidR="00547C6F" w:rsidRDefault="005219FB" w:rsidP="00565885">
      <w:pPr>
        <w:widowControl w:val="0"/>
        <w:ind w:firstLine="720"/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</w:pPr>
      <w:r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>Чланом 6</w:t>
      </w:r>
      <w:r w:rsidR="00E81656" w:rsidRPr="00565885">
        <w:rPr>
          <w:rFonts w:ascii="Times New Roman" w:eastAsia="CTimesRoman" w:hAnsi="Times New Roman" w:cs="Times New Roman"/>
          <w:bCs/>
          <w:sz w:val="24"/>
          <w:szCs w:val="24"/>
          <w:lang w:val="sr-Cyrl-RS" w:eastAsia="en-GB"/>
        </w:rPr>
        <w:t xml:space="preserve">. се прописује да овај закон ступа на снагу осмог дана од дана објављивања у „Службеном гласнику Републике Србије”. </w:t>
      </w:r>
    </w:p>
    <w:p w14:paraId="6B140402" w14:textId="77777777" w:rsidR="00AB5C86" w:rsidRDefault="00AB5C86" w:rsidP="00AB5C86">
      <w:pPr>
        <w:pStyle w:val="ListParagraph"/>
        <w:spacing w:line="240" w:lineRule="auto"/>
        <w:ind w:left="1080"/>
        <w:jc w:val="left"/>
        <w:rPr>
          <w:b/>
          <w:sz w:val="24"/>
          <w:szCs w:val="24"/>
          <w:lang w:val="sr-Cyrl-CS"/>
        </w:rPr>
      </w:pPr>
    </w:p>
    <w:p w14:paraId="2EC86266" w14:textId="2883AD11" w:rsidR="00AB5C86" w:rsidRPr="00CB4D3B" w:rsidRDefault="00CB4D3B" w:rsidP="00CB4D3B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4D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5C86" w:rsidRPr="00CB4D3B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 ПОТРЕБНА ЗА СПРОВОЂЕЊЕ ЗАКОНА</w:t>
      </w:r>
    </w:p>
    <w:p w14:paraId="5873A60A" w14:textId="77777777" w:rsidR="00AB5C86" w:rsidRPr="00CB4D3B" w:rsidRDefault="00AB5C86" w:rsidP="00AB5C8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7B5B64E" w14:textId="60173C16" w:rsidR="00AB5C86" w:rsidRPr="00CB4D3B" w:rsidRDefault="00AB5C86" w:rsidP="00AB5C8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B4D3B">
        <w:rPr>
          <w:rFonts w:ascii="Times New Roman" w:hAnsi="Times New Roman" w:cs="Times New Roman"/>
          <w:sz w:val="24"/>
          <w:szCs w:val="24"/>
          <w:lang w:val="sr-Cyrl-CS"/>
        </w:rPr>
        <w:t>За спровођење овог закона није потребно обезбедити финансијска средства у буџету Републике Србије</w:t>
      </w:r>
      <w:r w:rsidR="004861F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B4D3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3E66FBD8" w14:textId="77777777" w:rsidR="008D4A1B" w:rsidRPr="00547C6F" w:rsidRDefault="008D4A1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</w:p>
    <w:p w14:paraId="6FC5FC70" w14:textId="77777777" w:rsidR="008D4A1B" w:rsidRPr="00B86653" w:rsidRDefault="008D4A1B" w:rsidP="0046607C">
      <w:pPr>
        <w:pStyle w:val="ListParagraph"/>
        <w:widowControl w:val="0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8665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АНАЛИЗА ЕФЕКАТА ЗАКОНА </w:t>
      </w:r>
    </w:p>
    <w:p w14:paraId="19724C5A" w14:textId="77777777" w:rsidR="008D4A1B" w:rsidRPr="00B86653" w:rsidRDefault="008D4A1B" w:rsidP="008D4A1B">
      <w:pPr>
        <w:pStyle w:val="ListParagraph"/>
        <w:widowControl w:val="0"/>
        <w:jc w:val="lef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0E7CF51" w14:textId="77777777" w:rsidR="008D4A1B" w:rsidRPr="00B86653" w:rsidRDefault="008D4A1B" w:rsidP="007A4956">
      <w:pPr>
        <w:widowControl w:val="0"/>
        <w:tabs>
          <w:tab w:val="left" w:pos="3300"/>
        </w:tabs>
        <w:ind w:left="567" w:firstLine="153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86653">
        <w:rPr>
          <w:rFonts w:ascii="Times New Roman" w:hAnsi="Times New Roman" w:cs="Times New Roman"/>
          <w:b/>
          <w:sz w:val="24"/>
          <w:szCs w:val="24"/>
          <w:lang w:val="sr-Cyrl-CS"/>
        </w:rPr>
        <w:t>Одређење проблема које је потребно решити</w:t>
      </w:r>
    </w:p>
    <w:p w14:paraId="68094039" w14:textId="77777777" w:rsidR="0037645B" w:rsidRPr="00B86653" w:rsidRDefault="0037645B" w:rsidP="0046607C">
      <w:pPr>
        <w:widowControl w:val="0"/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37CE6A1" w14:textId="1F9E671A" w:rsidR="00855BFA" w:rsidRPr="004678CC" w:rsidRDefault="00855BFA" w:rsidP="00A548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 о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пружа м</w:t>
      </w:r>
      <w:r w:rsidR="00696848">
        <w:rPr>
          <w:rFonts w:ascii="Times New Roman" w:hAnsi="Times New Roman" w:cs="Times New Roman"/>
          <w:sz w:val="24"/>
          <w:szCs w:val="24"/>
          <w:lang w:val="sr-Cyrl-RS"/>
        </w:rPr>
        <w:t>огућност успостављања залоге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инвестиционим јединицама која, између осталог, има за циљ да овај финасијски инструмент учини интересантнијим за инв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ститоре јер им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осим трговања инвестиционим јединицама, пружа и могућност обезбеђења кредита или другог новчаног потраживања. Другим речима, заложно прав</w:t>
      </w:r>
      <w:r w:rsidR="00696848">
        <w:rPr>
          <w:rFonts w:ascii="Times New Roman" w:hAnsi="Times New Roman" w:cs="Times New Roman"/>
          <w:sz w:val="24"/>
          <w:szCs w:val="24"/>
          <w:lang w:val="sr-Cyrl-RS"/>
        </w:rPr>
        <w:t>о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инвестиционим јединицама пружа већу сигурност у наплати за повериоца, док за дужника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 xml:space="preserve"> увећава способност отплате и обезбеђује већи приступ ликвидним средствима. Увођење цен</w:t>
      </w:r>
      <w:r w:rsidR="00775E46">
        <w:rPr>
          <w:rFonts w:ascii="Times New Roman" w:hAnsi="Times New Roman" w:cs="Times New Roman"/>
          <w:sz w:val="24"/>
          <w:szCs w:val="24"/>
          <w:lang w:val="sr-Cyrl-RS"/>
        </w:rPr>
        <w:t>трализованог регистра залоге на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 xml:space="preserve"> инвестиционим јединицама </w:t>
      </w:r>
      <w:r w:rsidR="0059781C">
        <w:rPr>
          <w:rFonts w:ascii="Times New Roman" w:hAnsi="Times New Roman" w:cs="Times New Roman"/>
          <w:sz w:val="24"/>
          <w:szCs w:val="24"/>
          <w:lang w:val="sr-Cyrl-RS"/>
        </w:rPr>
        <w:t xml:space="preserve">код  Централног регистра, депо и клиринга хартија од вредности, 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 xml:space="preserve">додатно </w:t>
      </w:r>
      <w:r w:rsidR="0059781C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DC3C8A">
        <w:rPr>
          <w:rFonts w:ascii="Times New Roman" w:hAnsi="Times New Roman" w:cs="Times New Roman"/>
          <w:sz w:val="24"/>
          <w:szCs w:val="24"/>
          <w:lang w:val="sr-Cyrl-RS"/>
        </w:rPr>
        <w:t xml:space="preserve">допринети правној сигурности и ефикасности приликом успостављања и наплате намирења. </w:t>
      </w:r>
    </w:p>
    <w:p w14:paraId="7B165F19" w14:textId="77777777" w:rsidR="00E80CDB" w:rsidRDefault="00E80CDB" w:rsidP="0046607C">
      <w:pPr>
        <w:widowControl w:val="0"/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976852" w14:textId="77777777" w:rsidR="0037645B" w:rsidRPr="007A6001" w:rsidRDefault="0037645B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Циљеви који се постижу његовим доношењем</w:t>
      </w:r>
    </w:p>
    <w:p w14:paraId="5989F1C5" w14:textId="77777777" w:rsidR="0037645B" w:rsidRPr="007A6001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7E0472" w14:textId="325D87BC" w:rsidR="00241423" w:rsidRPr="007A6001" w:rsidRDefault="003049E9" w:rsidP="00AB5C86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услове на домаћем тржишту, </w:t>
      </w:r>
      <w:r w:rsidR="0037645B" w:rsidRPr="007A6001">
        <w:rPr>
          <w:rFonts w:ascii="Times New Roman" w:hAnsi="Times New Roman" w:cs="Times New Roman"/>
          <w:sz w:val="24"/>
          <w:szCs w:val="24"/>
          <w:lang w:val="sr-Cyrl-CS"/>
        </w:rPr>
        <w:t>циљ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</w:t>
      </w:r>
      <w:r w:rsidR="0037645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треба постићи доношењем </w:t>
      </w:r>
      <w:r w:rsidR="00A91E55">
        <w:rPr>
          <w:rFonts w:ascii="Times New Roman" w:hAnsi="Times New Roman" w:cs="Times New Roman"/>
          <w:sz w:val="24"/>
          <w:szCs w:val="24"/>
          <w:lang w:val="sr-Cyrl-CS"/>
        </w:rPr>
        <w:t xml:space="preserve">овог </w:t>
      </w:r>
      <w:r w:rsidR="00A91E55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CB6113">
        <w:rPr>
          <w:rFonts w:ascii="Times New Roman" w:hAnsi="Times New Roman" w:cs="Times New Roman"/>
          <w:sz w:val="24"/>
          <w:szCs w:val="24"/>
          <w:lang w:val="sr-Cyrl-CS"/>
        </w:rPr>
        <w:t xml:space="preserve">оснивање већег броја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инвестициони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фондов</w:t>
      </w:r>
      <w:r w:rsidR="00C35630" w:rsidRPr="00C679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11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привлачење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већег броја </w:t>
      </w:r>
      <w:r w:rsidR="00FD2811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потенцијалних 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домаћих и страних инвеститора,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односно да се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домаће тржиште учини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приступачнијим и 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атрактивнијим 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 се 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>стимули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ше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већи број лица да улажу своја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слободна 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финансијска средства у </w:t>
      </w:r>
      <w:r w:rsidR="00BB3307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отворене инвестиционе </w:t>
      </w:r>
      <w:r w:rsidR="0038457B" w:rsidRPr="007A6001">
        <w:rPr>
          <w:rFonts w:ascii="Times New Roman" w:hAnsi="Times New Roman" w:cs="Times New Roman"/>
          <w:sz w:val="24"/>
          <w:szCs w:val="24"/>
          <w:lang w:val="sr-Cyrl-CS"/>
        </w:rPr>
        <w:t>фондове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организоване у Републици Србији. </w:t>
      </w:r>
      <w:r w:rsidR="00AA25BA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>Најбољи п</w:t>
      </w:r>
      <w:r w:rsidR="0038457B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оказатељи сврсисходности доношења овог закона </w:t>
      </w:r>
      <w:r w:rsidR="00AB5C8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биће </w:t>
      </w:r>
      <w:r w:rsidR="0038457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AA25BA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основаних или организованих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инвестициони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фондов</w:t>
      </w:r>
      <w:r w:rsidR="00C35630" w:rsidRPr="00C679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C86">
        <w:rPr>
          <w:rFonts w:ascii="Times New Roman" w:hAnsi="Times New Roman" w:cs="Times New Roman"/>
          <w:sz w:val="24"/>
          <w:szCs w:val="24"/>
          <w:lang w:val="sr-Cyrl-CS"/>
        </w:rPr>
        <w:t>у наредном периоду, као и</w:t>
      </w:r>
      <w:r w:rsidR="0038457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укупна вредност имовине под управљањем и укупна вредност по врстама имовине у коју су уложена прикупљена средства.</w:t>
      </w:r>
      <w:r w:rsidR="004A4B52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одредбама</w:t>
      </w:r>
      <w:r w:rsidR="00D951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C86">
        <w:rPr>
          <w:rFonts w:ascii="Times New Roman" w:hAnsi="Times New Roman" w:cs="Times New Roman"/>
          <w:sz w:val="24"/>
          <w:szCs w:val="24"/>
          <w:lang w:val="sr-Cyrl-CS"/>
        </w:rPr>
        <w:t xml:space="preserve">члана 351. </w:t>
      </w: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95181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о тржишту капитала </w:t>
      </w:r>
      <w:r w:rsidRPr="003049E9">
        <w:rPr>
          <w:rFonts w:ascii="Times New Roman" w:hAnsi="Times New Roman" w:cs="Times New Roman"/>
          <w:sz w:val="24"/>
          <w:szCs w:val="24"/>
        </w:rPr>
        <w:t>(</w:t>
      </w:r>
      <w:r w:rsidR="006E70E6" w:rsidRPr="00DA2E05">
        <w:rPr>
          <w:rFonts w:ascii="Times New Roman" w:hAnsi="Times New Roman"/>
          <w:sz w:val="24"/>
          <w:szCs w:val="24"/>
          <w:lang w:val="ru-RU"/>
        </w:rPr>
        <w:t>„</w:t>
      </w:r>
      <w:proofErr w:type="spellStart"/>
      <w:r w:rsidR="006E70E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6E70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70E6">
        <w:rPr>
          <w:rFonts w:ascii="Times New Roman" w:hAnsi="Times New Roman" w:cs="Times New Roman"/>
          <w:sz w:val="24"/>
          <w:szCs w:val="24"/>
        </w:rPr>
        <w:t>глaсник</w:t>
      </w:r>
      <w:proofErr w:type="spellEnd"/>
      <w:r w:rsidR="006E70E6">
        <w:rPr>
          <w:rFonts w:ascii="Times New Roman" w:hAnsi="Times New Roman" w:cs="Times New Roman"/>
          <w:sz w:val="24"/>
          <w:szCs w:val="24"/>
        </w:rPr>
        <w:t xml:space="preserve"> РС</w:t>
      </w:r>
      <w:r w:rsidR="006E70E6" w:rsidRPr="00DA2E05">
        <w:rPr>
          <w:rFonts w:ascii="Times New Roman" w:hAnsi="Times New Roman"/>
          <w:sz w:val="24"/>
          <w:szCs w:val="24"/>
          <w:lang w:val="ru-RU"/>
        </w:rPr>
        <w:t>”</w:t>
      </w:r>
      <w:r w:rsidRPr="003049E9">
        <w:rPr>
          <w:rFonts w:ascii="Times New Roman" w:hAnsi="Times New Roman" w:cs="Times New Roman"/>
          <w:sz w:val="24"/>
          <w:szCs w:val="24"/>
        </w:rPr>
        <w:t xml:space="preserve">, </w:t>
      </w:r>
      <w:r w:rsidRPr="003049E9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3049E9">
        <w:rPr>
          <w:rFonts w:ascii="Times New Roman" w:hAnsi="Times New Roman" w:cs="Times New Roman"/>
          <w:sz w:val="24"/>
          <w:szCs w:val="24"/>
        </w:rPr>
        <w:t xml:space="preserve"> 129/21)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25DA" w:rsidRPr="007A6001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је дужн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дн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ст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инф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рмиш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Вл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ду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св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ду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41423" w:rsidRPr="007A60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41423" w:rsidRPr="007A6001">
        <w:rPr>
          <w:rFonts w:ascii="Times New Roman" w:hAnsi="Times New Roman" w:cs="Times New Roman"/>
          <w:sz w:val="24"/>
          <w:szCs w:val="24"/>
          <w:lang w:val="sr-Cyrl-CS"/>
        </w:rPr>
        <w:t>крeтaњимa нa тржишту кaпитaлa, а саставни део ових извештаја су и подаци о друштвима за управљање инвестиционим фондовима, инвестиционим фондовима, структури улагања и успешности пословања инвестиционих фондова.</w:t>
      </w:r>
    </w:p>
    <w:p w14:paraId="0C7D758A" w14:textId="77777777" w:rsidR="00241423" w:rsidRPr="007A6001" w:rsidRDefault="00241423" w:rsidP="00241423">
      <w:pPr>
        <w:widowControl w:val="0"/>
        <w:tabs>
          <w:tab w:val="left" w:pos="993"/>
        </w:tabs>
        <w:ind w:right="-540"/>
        <w:rPr>
          <w:lang w:val="sr-Cyrl-CS"/>
        </w:rPr>
      </w:pPr>
    </w:p>
    <w:p w14:paraId="491750B6" w14:textId="089DB4F2" w:rsidR="0037645B" w:rsidRPr="007A6001" w:rsidRDefault="007A4956" w:rsidP="007A4956">
      <w:pPr>
        <w:widowControl w:val="0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37645B"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Које су друге могућности за решавање проблема? </w:t>
      </w:r>
    </w:p>
    <w:p w14:paraId="1E8031FB" w14:textId="77777777" w:rsidR="0037645B" w:rsidRPr="007A6001" w:rsidRDefault="0037645B" w:rsidP="0037645B">
      <w:pPr>
        <w:widowControl w:val="0"/>
        <w:ind w:firstLine="6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70A382F" w14:textId="5B3E7E14" w:rsidR="0037645B" w:rsidRPr="007A6001" w:rsidRDefault="0046607C" w:rsidP="0046607C">
      <w:pPr>
        <w:widowControl w:val="0"/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С обзиром </w:t>
      </w:r>
      <w:r w:rsidR="00793481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84E5D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="00775E46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инвестиционим</w:t>
      </w:r>
      <w:proofErr w:type="spellEnd"/>
      <w:r w:rsidR="00775E46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фондовима</w:t>
      </w:r>
      <w:proofErr w:type="spellEnd"/>
      <w:r w:rsidR="00775E46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775E46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775E46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E46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775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4E5D">
        <w:rPr>
          <w:rFonts w:ascii="Times New Roman" w:hAnsi="Times New Roman" w:cs="Times New Roman"/>
          <w:sz w:val="24"/>
          <w:szCs w:val="24"/>
          <w:lang w:val="sr-Cyrl-CS"/>
        </w:rPr>
        <w:t xml:space="preserve">уређује </w:t>
      </w:r>
      <w:r w:rsidR="00C35630">
        <w:rPr>
          <w:rFonts w:ascii="Times New Roman" w:hAnsi="Times New Roman" w:cs="Times New Roman"/>
          <w:sz w:val="24"/>
          <w:szCs w:val="24"/>
          <w:lang w:val="sr-Cyrl-CS"/>
        </w:rPr>
        <w:t>друштва за управљање отвореним инвестиционим фондовима са јавном понудом, инвестиционе јединице и вођење регистара инвестиционих јединица</w:t>
      </w:r>
      <w:r w:rsidR="00B12068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, иста </w:t>
      </w:r>
      <w:r w:rsidR="00AB5C86">
        <w:rPr>
          <w:rFonts w:ascii="Times New Roman" w:hAnsi="Times New Roman" w:cs="Times New Roman"/>
          <w:sz w:val="24"/>
          <w:szCs w:val="24"/>
          <w:lang w:val="sr-Cyrl-CS"/>
        </w:rPr>
        <w:t>материја</w:t>
      </w:r>
      <w:r w:rsidR="00421211">
        <w:rPr>
          <w:rFonts w:ascii="Times New Roman" w:hAnsi="Times New Roman" w:cs="Times New Roman"/>
          <w:sz w:val="24"/>
          <w:szCs w:val="24"/>
          <w:lang w:val="sr-Cyrl-CS"/>
        </w:rPr>
        <w:t xml:space="preserve"> на коју се односе ове измене,</w:t>
      </w:r>
      <w:r w:rsidR="00B12068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не може </w:t>
      </w:r>
      <w:r w:rsidR="00421211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3A7EF8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регулисати на други начин. </w:t>
      </w:r>
    </w:p>
    <w:p w14:paraId="1E1A404A" w14:textId="77777777" w:rsidR="0037645B" w:rsidRPr="007A6001" w:rsidRDefault="0037645B" w:rsidP="0046607C">
      <w:pPr>
        <w:widowControl w:val="0"/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2108DB" w14:textId="77777777" w:rsidR="0037645B" w:rsidRPr="007A6001" w:rsidRDefault="0037645B" w:rsidP="007A4956">
      <w:pPr>
        <w:widowControl w:val="0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Зашто је доношење акта најбоље за решавање проблема?</w:t>
      </w:r>
    </w:p>
    <w:p w14:paraId="3E5DBFAE" w14:textId="77777777" w:rsidR="0037645B" w:rsidRPr="007A6001" w:rsidRDefault="0037645B" w:rsidP="0037645B">
      <w:pPr>
        <w:widowControl w:val="0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D8F5572" w14:textId="6EA2D24C" w:rsidR="0037645B" w:rsidRPr="007A6001" w:rsidRDefault="00385552" w:rsidP="0046607C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37645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се однос</w:t>
      </w:r>
      <w:r w:rsidR="00DC363B" w:rsidRPr="007A60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7645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на материју која се искључиво регулише законом.</w:t>
      </w:r>
    </w:p>
    <w:p w14:paraId="6ECDCB15" w14:textId="77777777" w:rsidR="0037645B" w:rsidRPr="007A6001" w:rsidRDefault="0037645B" w:rsidP="0046607C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7F4C835" w14:textId="77777777" w:rsidR="0037645B" w:rsidRPr="007A6001" w:rsidRDefault="0037645B" w:rsidP="0046607C">
      <w:pPr>
        <w:widowControl w:val="0"/>
        <w:tabs>
          <w:tab w:val="left" w:pos="3300"/>
        </w:tabs>
        <w:ind w:left="851" w:hanging="142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На кога и како ће утицати предложена решења?</w:t>
      </w:r>
    </w:p>
    <w:p w14:paraId="34B18287" w14:textId="77777777" w:rsidR="0037645B" w:rsidRPr="007A6001" w:rsidRDefault="0037645B" w:rsidP="0046607C">
      <w:pPr>
        <w:widowControl w:val="0"/>
        <w:tabs>
          <w:tab w:val="left" w:pos="3300"/>
        </w:tabs>
        <w:ind w:left="851" w:hanging="142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E956C1" w14:textId="51154B53" w:rsidR="0037645B" w:rsidRPr="00485337" w:rsidRDefault="00A91E55" w:rsidP="0046607C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485337">
        <w:rPr>
          <w:rFonts w:ascii="Times New Roman" w:hAnsi="Times New Roman" w:cs="Times New Roman"/>
          <w:sz w:val="24"/>
          <w:szCs w:val="24"/>
          <w:lang w:val="sr-Cyrl-CS"/>
        </w:rPr>
        <w:t>Овај з</w:t>
      </w:r>
      <w:r w:rsidR="00385552" w:rsidRPr="00485337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>може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имати позитиван утицај на </w:t>
      </w:r>
      <w:r w:rsidR="00485337" w:rsidRPr="00485337">
        <w:rPr>
          <w:rFonts w:ascii="Times New Roman" w:hAnsi="Times New Roman" w:cs="Times New Roman"/>
          <w:sz w:val="24"/>
          <w:szCs w:val="24"/>
          <w:lang w:val="sr-Cyrl-CS"/>
        </w:rPr>
        <w:t>привреду Републике Србије у целости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. Наиме, </w:t>
      </w:r>
      <w:r w:rsidRPr="00485337">
        <w:rPr>
          <w:rFonts w:ascii="Times New Roman" w:hAnsi="Times New Roman" w:cs="Times New Roman"/>
          <w:sz w:val="24"/>
          <w:szCs w:val="24"/>
          <w:lang w:val="sr-Cyrl-CS"/>
        </w:rPr>
        <w:t>овај з</w:t>
      </w:r>
      <w:r w:rsidR="00385552" w:rsidRPr="00485337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отвара могућност за 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оснивање нових друштава за управљање и 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оснивање 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и организовање нових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C3563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инвестиционии</w:t>
      </w:r>
      <w:proofErr w:type="spellEnd"/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фондов</w:t>
      </w:r>
      <w:r w:rsidR="00C35630" w:rsidRPr="00C679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="00485337">
        <w:rPr>
          <w:rFonts w:ascii="Times New Roman" w:hAnsi="Times New Roman" w:cs="Times New Roman"/>
          <w:sz w:val="24"/>
          <w:szCs w:val="24"/>
          <w:lang w:val="sr-Cyrl-CS"/>
        </w:rPr>
        <w:t>, а даљим</w:t>
      </w:r>
      <w:r w:rsidR="0037645B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5337">
        <w:rPr>
          <w:rFonts w:ascii="Times New Roman" w:hAnsi="Times New Roman" w:cs="Times New Roman"/>
          <w:sz w:val="24"/>
          <w:szCs w:val="24"/>
          <w:lang w:val="sr-Cyrl-CS"/>
        </w:rPr>
        <w:t>инвестирањем уложених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инвеститора у имовину свих облика привредних субјеката</w:t>
      </w:r>
      <w:r w:rsidR="00485337">
        <w:rPr>
          <w:rFonts w:ascii="Times New Roman" w:hAnsi="Times New Roman" w:cs="Times New Roman"/>
          <w:sz w:val="24"/>
          <w:szCs w:val="24"/>
          <w:lang w:val="sr-Cyrl-CS"/>
        </w:rPr>
        <w:t xml:space="preserve"> и инфраструктуре,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допринело би унапређењу</w:t>
      </w:r>
      <w:r w:rsidR="00485337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услова за развој привреде уопште.</w:t>
      </w:r>
      <w:r w:rsidR="00084E5D" w:rsidRPr="004853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EEF3B4F" w14:textId="77777777" w:rsidR="0037645B" w:rsidRPr="00485337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C2F8F4" w14:textId="47F1A723" w:rsidR="0037645B" w:rsidRPr="007A6001" w:rsidRDefault="0037645B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Ко</w:t>
      </w:r>
      <w:r w:rsidR="00421211">
        <w:rPr>
          <w:rFonts w:ascii="Times New Roman" w:hAnsi="Times New Roman" w:cs="Times New Roman"/>
          <w:b/>
          <w:sz w:val="24"/>
          <w:szCs w:val="24"/>
          <w:lang w:val="sr-Cyrl-CS"/>
        </w:rPr>
        <w:t>ји су трошкови које ће примена З</w:t>
      </w: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акона изазвати грађанима и привреди посебно малим и средњим предузећима?</w:t>
      </w:r>
    </w:p>
    <w:p w14:paraId="13047919" w14:textId="3F825F5F" w:rsidR="00E70DF2" w:rsidRPr="007A6001" w:rsidRDefault="001D7266" w:rsidP="001D7266">
      <w:pPr>
        <w:tabs>
          <w:tab w:val="left" w:pos="0"/>
          <w:tab w:val="left" w:pos="630"/>
        </w:tabs>
        <w:ind w:right="27"/>
        <w:rPr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243585CA" w14:textId="14656C96" w:rsidR="00E70DF2" w:rsidRPr="007A6001" w:rsidRDefault="00E70DF2" w:rsidP="00E70DF2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Примена </w:t>
      </w:r>
      <w:r w:rsidR="00A91E55">
        <w:rPr>
          <w:rFonts w:ascii="Times New Roman" w:hAnsi="Times New Roman" w:cs="Times New Roman"/>
          <w:sz w:val="24"/>
          <w:szCs w:val="24"/>
          <w:lang w:val="sr-Cyrl-CS"/>
        </w:rPr>
        <w:t xml:space="preserve">овог </w:t>
      </w:r>
      <w:r w:rsidR="00A91E55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закона 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>неће изазвати издвајање додатних тр</w:t>
      </w:r>
      <w:r w:rsidR="00485337">
        <w:rPr>
          <w:rFonts w:ascii="Times New Roman" w:hAnsi="Times New Roman" w:cs="Times New Roman"/>
          <w:sz w:val="24"/>
          <w:szCs w:val="24"/>
          <w:lang w:val="sr-Cyrl-CS"/>
        </w:rPr>
        <w:t>ошкова ни грађанима ни привреди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E47E3A1" w14:textId="185BC0E9" w:rsidR="00E70DF2" w:rsidRPr="007A6001" w:rsidRDefault="00E70DF2" w:rsidP="00E70DF2">
      <w:pPr>
        <w:widowControl w:val="0"/>
        <w:ind w:firstLine="68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061112" w14:textId="77777777" w:rsidR="0037645B" w:rsidRPr="007A6001" w:rsidRDefault="0037645B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Да ли позитивне последице доношења Закона оправдавају трошкове његове примене?</w:t>
      </w:r>
    </w:p>
    <w:p w14:paraId="4FC9BABA" w14:textId="77777777" w:rsidR="0037645B" w:rsidRPr="007A6001" w:rsidRDefault="0037645B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0A200E" w14:textId="77777777" w:rsidR="00485337" w:rsidRPr="00485337" w:rsidRDefault="00485337" w:rsidP="00485337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485337">
        <w:rPr>
          <w:rFonts w:ascii="Times New Roman" w:hAnsi="Times New Roman" w:cs="Times New Roman"/>
          <w:sz w:val="24"/>
          <w:szCs w:val="24"/>
          <w:lang w:val="sr-Cyrl-CS"/>
        </w:rPr>
        <w:t>Позитивне последице доношења овог закона сасвим оправдавају трошкове његове примене, јер свакако нису значајнијег обима.</w:t>
      </w:r>
    </w:p>
    <w:p w14:paraId="557C8ECE" w14:textId="77777777" w:rsidR="00485337" w:rsidRPr="00485337" w:rsidRDefault="00485337" w:rsidP="00485337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485337">
        <w:rPr>
          <w:rFonts w:ascii="Times New Roman" w:hAnsi="Times New Roman" w:cs="Times New Roman"/>
          <w:sz w:val="24"/>
          <w:szCs w:val="24"/>
          <w:lang w:val="sr-Cyrl-CS"/>
        </w:rPr>
        <w:t>Према очекивањима која се односе на поменуте директне и индиректне користи, односно позитивне последице предложених решења, процењује се да ће укупне користи далеко премашити укупне трошкове који прате спровођење овог закона.</w:t>
      </w:r>
    </w:p>
    <w:p w14:paraId="192D1D92" w14:textId="77777777" w:rsidR="00485337" w:rsidRPr="00485337" w:rsidRDefault="00485337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75E8420" w14:textId="1A53BAAC" w:rsidR="0037645B" w:rsidRPr="007A6001" w:rsidRDefault="0037645B" w:rsidP="0037645B">
      <w:pPr>
        <w:widowControl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Да ли се Законом подржава стварање нових привредних субјеката на тржишту и тржишна конкуренција?</w:t>
      </w:r>
    </w:p>
    <w:p w14:paraId="1FFF7580" w14:textId="77777777" w:rsidR="0037645B" w:rsidRPr="007A6001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790758C3" w14:textId="55882A02" w:rsidR="00485337" w:rsidRPr="00AB5C86" w:rsidRDefault="00485337" w:rsidP="00485337">
      <w:pPr>
        <w:ind w:firstLine="680"/>
        <w:rPr>
          <w:rFonts w:ascii="Times New Roman" w:hAnsi="Times New Roman" w:cs="Times New Roman"/>
          <w:lang w:val="sr-Cyrl-RS"/>
        </w:rPr>
      </w:pPr>
      <w:proofErr w:type="spellStart"/>
      <w:r w:rsidRPr="00AB5C86">
        <w:rPr>
          <w:rFonts w:ascii="Times New Roman" w:hAnsi="Times New Roman" w:cs="Times New Roman"/>
          <w:sz w:val="24"/>
          <w:szCs w:val="24"/>
          <w:lang w:val="sr-Latn-RS"/>
        </w:rPr>
        <w:t>Закон</w:t>
      </w:r>
      <w:proofErr w:type="spellEnd"/>
      <w:r w:rsidRPr="00AB5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AB5C86">
        <w:rPr>
          <w:rFonts w:ascii="Times New Roman" w:hAnsi="Times New Roman" w:cs="Times New Roman"/>
          <w:sz w:val="24"/>
          <w:szCs w:val="24"/>
          <w:lang w:val="sr-Latn-RS"/>
        </w:rPr>
        <w:t>пружа</w:t>
      </w:r>
      <w:proofErr w:type="spellEnd"/>
      <w:r w:rsidRPr="00AB5C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21211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 </w:t>
      </w:r>
      <w:r w:rsidRPr="00AB5C86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оснивања и организовања већег броја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отворених</w:t>
      </w:r>
      <w:proofErr w:type="spellEnd"/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 w:rsidR="00C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>
        <w:rPr>
          <w:rFonts w:ascii="Times New Roman" w:hAnsi="Times New Roman" w:cs="Times New Roman"/>
          <w:sz w:val="24"/>
          <w:szCs w:val="24"/>
        </w:rPr>
        <w:t>фондов</w:t>
      </w:r>
      <w:r w:rsidR="00C35630" w:rsidRPr="00C679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C35630" w:rsidRPr="00C6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630" w:rsidRPr="00C67923">
        <w:rPr>
          <w:rFonts w:ascii="Times New Roman" w:hAnsi="Times New Roman" w:cs="Times New Roman"/>
          <w:sz w:val="24"/>
          <w:szCs w:val="24"/>
        </w:rPr>
        <w:t>понудом</w:t>
      </w:r>
      <w:proofErr w:type="spellEnd"/>
      <w:r w:rsidRPr="00AB5C86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Pr="00AB5C86">
        <w:rPr>
          <w:rFonts w:ascii="Times New Roman" w:hAnsi="Times New Roman" w:cs="Times New Roman"/>
          <w:sz w:val="24"/>
          <w:szCs w:val="24"/>
          <w:lang w:val="sr-Latn-RS"/>
        </w:rPr>
        <w:t>могућности свим привредним субјектима да</w:t>
      </w:r>
      <w:r w:rsidRPr="00AB5C86">
        <w:rPr>
          <w:rFonts w:ascii="Times New Roman" w:hAnsi="Times New Roman" w:cs="Times New Roman"/>
          <w:sz w:val="24"/>
          <w:szCs w:val="24"/>
          <w:lang w:val="sr-Cyrl-RS"/>
        </w:rPr>
        <w:t xml:space="preserve"> на једноставнији начин и уз мање трошкове, дођу до финансијских средстава неопходних за одржавање и унапређење дотадашњег пословања, што може значајно да утиче на њихов положај на тржишту и конкурентност.</w:t>
      </w:r>
    </w:p>
    <w:p w14:paraId="080ED19A" w14:textId="77777777" w:rsidR="0037645B" w:rsidRPr="007A6001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8BA8BC" w14:textId="671A608A" w:rsidR="0037645B" w:rsidRPr="007A6001" w:rsidRDefault="0037645B" w:rsidP="0037645B">
      <w:pPr>
        <w:widowControl w:val="0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Да ли су све заинтересоване стране</w:t>
      </w:r>
      <w:r w:rsidR="004212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имале прилику да се изјасне о З</w:t>
      </w: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>акону?</w:t>
      </w:r>
    </w:p>
    <w:p w14:paraId="77D4F914" w14:textId="77777777" w:rsidR="0037645B" w:rsidRPr="007A6001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26099FF3" w14:textId="77777777" w:rsidR="00AB5C86" w:rsidRPr="00AB5C86" w:rsidRDefault="00AB5C86" w:rsidP="00AB5C86">
      <w:pPr>
        <w:ind w:right="-5" w:firstLine="720"/>
        <w:rPr>
          <w:rFonts w:ascii="Times New Roman" w:hAnsi="Times New Roman" w:cs="Times New Roman"/>
          <w:bCs/>
          <w:sz w:val="24"/>
          <w:lang w:val="sr-Cyrl-CS"/>
        </w:rPr>
      </w:pPr>
      <w:r w:rsidRPr="00AB5C86">
        <w:rPr>
          <w:rFonts w:ascii="Times New Roman" w:hAnsi="Times New Roman" w:cs="Times New Roman"/>
          <w:bCs/>
          <w:sz w:val="24"/>
          <w:lang w:val="sr-Cyrl-CS"/>
        </w:rPr>
        <w:t>Приликом дефинисања одредби овог закона, активно су учествовале и усагласиле се око предложених решења, следеће институције релевантне за његову примену:</w:t>
      </w:r>
    </w:p>
    <w:p w14:paraId="4DD86FEF" w14:textId="77777777" w:rsidR="00793481" w:rsidRPr="007A6001" w:rsidRDefault="00793481" w:rsidP="00793481">
      <w:pPr>
        <w:pStyle w:val="ListParagraph"/>
        <w:widowControl w:val="0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firstLine="283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 финансија; </w:t>
      </w:r>
    </w:p>
    <w:p w14:paraId="66167375" w14:textId="61D51C84" w:rsidR="00793481" w:rsidRDefault="00793481" w:rsidP="00793481">
      <w:pPr>
        <w:pStyle w:val="ListParagraph"/>
        <w:widowControl w:val="0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firstLine="283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>Комисија за хартије од вредности;</w:t>
      </w:r>
    </w:p>
    <w:p w14:paraId="47B3EE29" w14:textId="2436B37B" w:rsidR="00821E43" w:rsidRDefault="00821E43" w:rsidP="00793481">
      <w:pPr>
        <w:pStyle w:val="ListParagraph"/>
        <w:widowControl w:val="0"/>
        <w:numPr>
          <w:ilvl w:val="0"/>
          <w:numId w:val="4"/>
        </w:numPr>
        <w:tabs>
          <w:tab w:val="left" w:pos="1276"/>
          <w:tab w:val="left" w:pos="1418"/>
          <w:tab w:val="left" w:pos="1560"/>
        </w:tabs>
        <w:ind w:left="993" w:firstLine="283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Централни регистар, депо и клиринг хартија од вредности,</w:t>
      </w:r>
    </w:p>
    <w:p w14:paraId="626F1C49" w14:textId="77777777" w:rsidR="005138FB" w:rsidRDefault="005138FB" w:rsidP="005138FB">
      <w:pPr>
        <w:ind w:right="-5" w:firstLine="720"/>
        <w:rPr>
          <w:rFonts w:eastAsia="Calibri"/>
          <w:bCs/>
          <w:kern w:val="22"/>
          <w:sz w:val="24"/>
          <w:szCs w:val="24"/>
          <w:highlight w:val="yellow"/>
          <w:lang w:val="sr-Cyrl-RS"/>
        </w:rPr>
      </w:pPr>
    </w:p>
    <w:p w14:paraId="127691CE" w14:textId="4CFE545F" w:rsidR="00FE0AF6" w:rsidRPr="005138FB" w:rsidRDefault="00FE0AF6" w:rsidP="00FE0AF6">
      <w:pPr>
        <w:ind w:right="-5" w:firstLine="720"/>
        <w:rPr>
          <w:rFonts w:ascii="Times New Roman" w:eastAsia="Calibri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val="sr-Cyrl-RS"/>
        </w:rPr>
        <w:t>П</w:t>
      </w:r>
      <w:r w:rsidRPr="005138FB">
        <w:rPr>
          <w:rFonts w:ascii="Times New Roman" w:eastAsia="Calibri" w:hAnsi="Times New Roman" w:cs="Times New Roman"/>
          <w:spacing w:val="-4"/>
          <w:sz w:val="24"/>
          <w:szCs w:val="24"/>
          <w:lang w:val="sr-Cyrl-RS"/>
        </w:rPr>
        <w:t xml:space="preserve">редметним изменама и допуном закона не мења се битно режим, већ се 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val="sr-Cyrl-RS"/>
        </w:rPr>
        <w:t>прецизира вођење централизованог регистра залоге на инвестиционим јединицама</w:t>
      </w:r>
      <w:r w:rsidRPr="005138FB">
        <w:rPr>
          <w:rFonts w:ascii="Times New Roman" w:eastAsia="Calibri" w:hAnsi="Times New Roman" w:cs="Times New Roman"/>
          <w:spacing w:val="-4"/>
          <w:sz w:val="24"/>
          <w:szCs w:val="24"/>
          <w:lang w:val="sr-Cyrl-RS"/>
        </w:rPr>
        <w:t xml:space="preserve">, </w:t>
      </w:r>
      <w:r w:rsidRPr="005138FB">
        <w:rPr>
          <w:rFonts w:ascii="Times New Roman" w:eastAsia="Calibri" w:hAnsi="Times New Roman" w:cs="Times New Roman"/>
          <w:bCs/>
          <w:kern w:val="22"/>
          <w:sz w:val="24"/>
          <w:szCs w:val="24"/>
          <w:lang w:val="sr-Cyrl-RS"/>
        </w:rPr>
        <w:t xml:space="preserve">односно не врше суштинске измене Закона о </w:t>
      </w:r>
      <w:r>
        <w:rPr>
          <w:rFonts w:ascii="Times New Roman" w:eastAsia="Calibri" w:hAnsi="Times New Roman" w:cs="Times New Roman"/>
          <w:bCs/>
          <w:kern w:val="22"/>
          <w:sz w:val="24"/>
          <w:szCs w:val="24"/>
          <w:lang w:val="sr-Cyrl-RS"/>
        </w:rPr>
        <w:t>отвореним инвестиционим фондовима са јавном понудом.</w:t>
      </w:r>
      <w:r w:rsidRPr="005138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D3DC0C" w14:textId="77777777" w:rsidR="00793481" w:rsidRPr="007A6001" w:rsidRDefault="00793481" w:rsidP="00793481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4C79B12D" w14:textId="77777777" w:rsidR="0037645B" w:rsidRPr="007A6001" w:rsidRDefault="0037645B" w:rsidP="0037645B">
      <w:pPr>
        <w:widowControl w:val="0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b/>
          <w:sz w:val="24"/>
          <w:szCs w:val="24"/>
          <w:lang w:val="sr-Cyrl-CS"/>
        </w:rPr>
        <w:tab/>
        <w:t>Које ће се мере током примене Закона предузети да би се остварило оно што се доношењем Закона намерава?</w:t>
      </w:r>
    </w:p>
    <w:p w14:paraId="738EF179" w14:textId="77777777" w:rsidR="0037645B" w:rsidRPr="007A6001" w:rsidRDefault="0037645B" w:rsidP="0046607C">
      <w:pPr>
        <w:widowControl w:val="0"/>
        <w:tabs>
          <w:tab w:val="left" w:pos="33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14:paraId="4DD29EE6" w14:textId="4465F0C8" w:rsidR="0037645B" w:rsidRDefault="0037645B" w:rsidP="0046607C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примене </w:t>
      </w:r>
      <w:r w:rsidR="00A91E55">
        <w:rPr>
          <w:rFonts w:ascii="Times New Roman" w:hAnsi="Times New Roman" w:cs="Times New Roman"/>
          <w:sz w:val="24"/>
          <w:szCs w:val="24"/>
          <w:lang w:val="sr-Cyrl-CS"/>
        </w:rPr>
        <w:t>овог з</w:t>
      </w:r>
      <w:r w:rsidR="00385552" w:rsidRPr="007A6001">
        <w:rPr>
          <w:rFonts w:ascii="Times New Roman" w:hAnsi="Times New Roman" w:cs="Times New Roman"/>
          <w:sz w:val="24"/>
          <w:szCs w:val="24"/>
          <w:lang w:val="sr-Cyrl-CS"/>
        </w:rPr>
        <w:t>акона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, Комисија </w:t>
      </w:r>
      <w:r w:rsidR="009C486C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3C5F7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дужна </w:t>
      </w:r>
      <w:r w:rsidR="00D26128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3C5F7B"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C86">
        <w:rPr>
          <w:rFonts w:ascii="Times New Roman" w:hAnsi="Times New Roman" w:cs="Times New Roman"/>
          <w:sz w:val="24"/>
          <w:szCs w:val="24"/>
          <w:lang w:val="sr-Cyrl-CS"/>
        </w:rPr>
        <w:t>усагласи свој подзаконски акт</w:t>
      </w:r>
      <w:r w:rsidRPr="007A60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C86">
        <w:rPr>
          <w:rFonts w:ascii="Times New Roman" w:hAnsi="Times New Roman" w:cs="Times New Roman"/>
          <w:sz w:val="24"/>
          <w:szCs w:val="24"/>
          <w:lang w:val="sr-Cyrl-CS"/>
        </w:rPr>
        <w:t>који уређује предметну материју са одредбама овог закона.</w:t>
      </w:r>
    </w:p>
    <w:p w14:paraId="6A6D4D8A" w14:textId="28FE8B8A" w:rsidR="00AB5C86" w:rsidRDefault="00AB5C86" w:rsidP="0046607C">
      <w:pPr>
        <w:widowControl w:val="0"/>
        <w:tabs>
          <w:tab w:val="left" w:pos="3300"/>
        </w:tabs>
        <w:ind w:firstLine="68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A93375" w14:textId="62468BC0" w:rsidR="00AB5C86" w:rsidRPr="00EE0BC0" w:rsidRDefault="00CB4D3B" w:rsidP="00CB4D3B">
      <w:pPr>
        <w:pStyle w:val="Zakon1"/>
        <w:spacing w:after="0"/>
        <w:ind w:left="72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="003B79B6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AB5C86" w:rsidRPr="00EE0BC0">
        <w:rPr>
          <w:rFonts w:ascii="Times New Roman" w:hAnsi="Times New Roman" w:cs="Times New Roman"/>
          <w:sz w:val="24"/>
          <w:szCs w:val="24"/>
        </w:rPr>
        <w:t>ПРЕГЛЕД ОДРЕДАБА ЗАКОНА КОЈЕ СЕ МЕЊАЈУ</w:t>
      </w:r>
    </w:p>
    <w:p w14:paraId="6227FCE6" w14:textId="77777777" w:rsidR="00AB5C86" w:rsidRDefault="00AB5C86" w:rsidP="00AB5C86">
      <w:pPr>
        <w:pStyle w:val="Zakon1"/>
        <w:spacing w:after="0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454F74B" w14:textId="77777777" w:rsidR="00A914F3" w:rsidRPr="00E358AF" w:rsidRDefault="00A914F3" w:rsidP="00A914F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48.</w:t>
      </w:r>
    </w:p>
    <w:p w14:paraId="1A9FB4F1" w14:textId="77777777" w:rsidR="00A914F3" w:rsidRPr="00E358AF" w:rsidRDefault="00A914F3" w:rsidP="00B3114E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Инвестициона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прeдстaвљa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срaзмeрни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oбрaчунски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удeo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укупнoj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нeтo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имoвини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УЦИТС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фондa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стицалац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инвестиционе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следећа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D39F8" w14:textId="77777777" w:rsidR="00A914F3" w:rsidRPr="00E358AF" w:rsidRDefault="00A914F3" w:rsidP="00A914F3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прaвo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срaзмeрни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дeo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прихoдa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D5D6AE" w14:textId="77777777" w:rsidR="00A914F3" w:rsidRPr="00E358AF" w:rsidRDefault="00A914F3" w:rsidP="00A914F3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располагања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инвестиционим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јединицама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99A727" w14:textId="77777777" w:rsidR="00A914F3" w:rsidRPr="00E358AF" w:rsidRDefault="00A914F3" w:rsidP="00A914F3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прaвo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oткуп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AE6A1E" w14:textId="77777777" w:rsidR="00A914F3" w:rsidRPr="00E358AF" w:rsidRDefault="00A914F3" w:rsidP="00A914F3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прaвo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срaзмeрни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дeo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имoвинe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УЦИТС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фондa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случajу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рaспуштaњa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29F0C4" w14:textId="77777777" w:rsidR="00A914F3" w:rsidRPr="00E358AF" w:rsidRDefault="00A914F3" w:rsidP="00A914F3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другa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прaвa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склaду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oвим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зaкoнoм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067063" w14:textId="77777777" w:rsidR="00A914F3" w:rsidRPr="00E358AF" w:rsidRDefault="00A914F3" w:rsidP="00B3114E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Инвeстициoнe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jeдиницe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дajу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истa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прaвa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члaнoвимa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фoндa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24FFE" w14:textId="77777777" w:rsidR="00A914F3" w:rsidRPr="00E358AF" w:rsidRDefault="00A914F3" w:rsidP="00B3114E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инвестиционих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друштво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сме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издавати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финансијских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инструмената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носе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било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имовине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УЦИТС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фондa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93AECC" w14:textId="77777777" w:rsidR="00A914F3" w:rsidRPr="00E358AF" w:rsidRDefault="00A914F3" w:rsidP="00340CE6">
      <w:pPr>
        <w:spacing w:after="150"/>
        <w:ind w:firstLine="720"/>
        <w:rPr>
          <w:rFonts w:ascii="Times New Roman" w:hAnsi="Times New Roman" w:cs="Times New Roman"/>
          <w:strike/>
          <w:color w:val="000000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Друштвo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зa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упрaвљaњe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вoди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рeгистaр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инвeстициoних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jeдиницa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и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eвидeнтирa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свaку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промену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у </w:t>
      </w:r>
      <w:proofErr w:type="spellStart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располагању</w:t>
      </w:r>
      <w:proofErr w:type="spellEnd"/>
      <w:r w:rsidRPr="00E358AF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16A594B0" w14:textId="53E7E6C2" w:rsidR="00A914F3" w:rsidRDefault="009C73DA" w:rsidP="00B3114E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ДРУШТВО ЗА УПРАВЉАЊЕ МОЖЕ ВОДИТИ ИНВЕСТИЦИОНЕ ЈЕДИНИЦЕ У РЕГИСТРУ ИНВЕСТИЦИОНИХ ЈЕДИНИЦА </w:t>
      </w:r>
      <w:r w:rsidRPr="00E358AF">
        <w:rPr>
          <w:rFonts w:ascii="Times New Roman" w:hAnsi="Times New Roman" w:cs="Times New Roman"/>
          <w:color w:val="000000"/>
          <w:sz w:val="24"/>
          <w:szCs w:val="24"/>
        </w:rPr>
        <w:t>УЦИТС ФОНДA</w:t>
      </w:r>
      <w:r w:rsidRPr="00E358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ВОДИ САМО ДРУШТВО ЗА УПРАВЉАЊЕ </w:t>
      </w:r>
      <w:r w:rsidRPr="00E358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ИЛИ </w:t>
      </w:r>
      <w:r w:rsidR="00B821A4" w:rsidRPr="0062477D">
        <w:rPr>
          <w:rFonts w:ascii="Times New Roman" w:eastAsia="Calibri" w:hAnsi="Times New Roman"/>
          <w:sz w:val="24"/>
          <w:szCs w:val="24"/>
          <w:lang w:val="sr-Cyrl-RS"/>
        </w:rPr>
        <w:t>ЦЕНТРАЛНИ РЕГИСТАР, ДЕПО И КЛИРИНГ ХАРТИЈА ОД ВРЕДНОСТИ</w:t>
      </w:r>
      <w:r w:rsidR="00B82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21A4" w:rsidRPr="0062477D">
        <w:rPr>
          <w:rFonts w:ascii="Times New Roman" w:hAnsi="Times New Roman"/>
          <w:sz w:val="24"/>
          <w:szCs w:val="24"/>
          <w:lang w:val="sr-Cyrl-RS"/>
        </w:rPr>
        <w:t>А ОДГОВОРНО ЈЕ ЗА ЕВИДЕНТИРАЊЕ СВИХ ПРОМЕНА У РАСПОЛАГАЊУ У РЕГИСТРУ</w:t>
      </w:r>
      <w:r w:rsidR="00B821A4" w:rsidRPr="00E358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90928" w14:textId="71CFC7BF" w:rsidR="009F213F" w:rsidRPr="009F213F" w:rsidRDefault="009F213F" w:rsidP="00B3114E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ЛИЦЕ КОЈЕ ВОДИ РЕГИСТАР ИНВЕСТИЦИОНИХ ЈЕДИНИЦА </w:t>
      </w: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УЦИТС ФОНДА</w:t>
      </w: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ДУЖНО ЈЕ ДА КАО ПОСЛОВНУ ТАЈНУ ЧУВА ПОДАТКЕ О ЧЛАНОВИМА, СТАЊУ ИНВЕСТИЦИОНИХ ЈЕДИНИЦА, И УПЛАТАМА И ИСПЛАТАМА. НАВЕДЕНЕ ПОДАТКЕ ЛИЦЕ КОЈЕ ВОДИ РЕГИСТАР ИНВЕСТИЦИОНИХ ЈЕДИНИЦА ДОСТАВЉА, НА ОСНОВУ ЗАХТЕВА:</w:t>
      </w:r>
    </w:p>
    <w:p w14:paraId="70D13EDC" w14:textId="62BF2B08" w:rsidR="009F213F" w:rsidRPr="009F213F" w:rsidRDefault="009F213F" w:rsidP="00B821A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>1) ЧЛАНУ, И ТО САМО ПОДАТКЕ КОЈИ СЕ ОДНОСЕ НА ТОГ ЧЛАНА;</w:t>
      </w:r>
    </w:p>
    <w:p w14:paraId="26657D87" w14:textId="46286172" w:rsidR="009F213F" w:rsidRPr="009F213F" w:rsidRDefault="009F213F" w:rsidP="00B821A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>2) ДЕПОЗИТАРУ;</w:t>
      </w:r>
    </w:p>
    <w:p w14:paraId="1E8D6469" w14:textId="274AC142" w:rsidR="009F213F" w:rsidRPr="009F213F" w:rsidRDefault="009F213F" w:rsidP="00B821A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>3) ЛИЦУ КОЈЕ ДОКАЖЕ ПРАВНИ ИНТЕРЕС;</w:t>
      </w:r>
    </w:p>
    <w:p w14:paraId="3151C4BF" w14:textId="59F38962" w:rsidR="009F213F" w:rsidRPr="009F213F" w:rsidRDefault="009F213F" w:rsidP="00B821A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>4) ПРАВОСУДНИМ И УПРАВНИМ ОРГАНИМА, КАО И ДРУГИМ ЛИЦИМА У ОКВИРУ ОВЛАШЋЕЊА, А У СКЛАДУ СА ЗАКОНОМ.</w:t>
      </w:r>
    </w:p>
    <w:p w14:paraId="28F59A7F" w14:textId="5AE6994E" w:rsidR="009F213F" w:rsidRPr="009F213F" w:rsidRDefault="009F213F" w:rsidP="00B3114E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КОМИСИЈА И </w:t>
      </w: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  <w:lang w:val="sr-Cyrl-RS"/>
        </w:rPr>
        <w:t>ДРУШТВО ЗА УПРАВЉАЊЕ</w:t>
      </w:r>
      <w:r w:rsidRPr="009F21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УВЕК ИМАЈУ ПРАВО УВИДА У РЕГИСТАР ИНВЕСТИЦИОНИХ ЈЕДИНИЦА.</w:t>
      </w:r>
    </w:p>
    <w:p w14:paraId="6945EFD6" w14:textId="77777777" w:rsidR="00A914F3" w:rsidRPr="00E358AF" w:rsidRDefault="00A914F3" w:rsidP="00B3114E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Упис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регистар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производи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правно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дејство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трећим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лицима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13F">
        <w:rPr>
          <w:rFonts w:ascii="Times New Roman" w:hAnsi="Times New Roman" w:cs="Times New Roman"/>
          <w:color w:val="000000"/>
          <w:sz w:val="24"/>
          <w:szCs w:val="24"/>
        </w:rPr>
        <w:t>уписа</w:t>
      </w:r>
      <w:proofErr w:type="spellEnd"/>
      <w:r w:rsidRPr="009F21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0EE505" w14:textId="77777777" w:rsidR="00A914F3" w:rsidRPr="00E358AF" w:rsidRDefault="00A914F3" w:rsidP="00B3114E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организовање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регистра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инвестиционих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јединица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објављивање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AF">
        <w:rPr>
          <w:rFonts w:ascii="Times New Roman" w:hAnsi="Times New Roman" w:cs="Times New Roman"/>
          <w:color w:val="000000"/>
          <w:sz w:val="24"/>
          <w:szCs w:val="24"/>
        </w:rPr>
        <w:t>регистра</w:t>
      </w:r>
      <w:proofErr w:type="spellEnd"/>
      <w:r w:rsidRPr="00E3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74C975" w14:textId="77777777" w:rsidR="00A914F3" w:rsidRPr="00B821A4" w:rsidRDefault="00A914F3" w:rsidP="00A914F3">
      <w:pPr>
        <w:spacing w:after="120"/>
        <w:jc w:val="center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Тeрeти</w:t>
      </w:r>
      <w:proofErr w:type="spellEnd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нa</w:t>
      </w:r>
      <w:proofErr w:type="spellEnd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инвeстициoним</w:t>
      </w:r>
      <w:proofErr w:type="spellEnd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b/>
          <w:strike/>
          <w:color w:val="000000"/>
          <w:sz w:val="24"/>
          <w:szCs w:val="24"/>
        </w:rPr>
        <w:t>jeдиницaмa</w:t>
      </w:r>
      <w:proofErr w:type="spellEnd"/>
    </w:p>
    <w:p w14:paraId="2C6162C6" w14:textId="77777777" w:rsidR="00A914F3" w:rsidRPr="00B821A4" w:rsidRDefault="00A914F3" w:rsidP="00A914F3">
      <w:pPr>
        <w:spacing w:after="120"/>
        <w:jc w:val="center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Члaн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54.</w:t>
      </w:r>
    </w:p>
    <w:p w14:paraId="2F171488" w14:textId="77777777" w:rsidR="00A914F3" w:rsidRPr="00B821A4" w:rsidRDefault="00A914F3" w:rsidP="009F213F">
      <w:pPr>
        <w:spacing w:after="150"/>
        <w:ind w:firstLine="720"/>
        <w:rPr>
          <w:rFonts w:ascii="Times New Roman" w:hAnsi="Times New Roman" w:cs="Times New Roman"/>
          <w:strike/>
          <w:color w:val="000000"/>
          <w:sz w:val="24"/>
          <w:szCs w:val="24"/>
        </w:rPr>
      </w:pP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Нa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инвeстициoнoj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jeдиници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мoжe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уписaти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сaмo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jeднo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зaлoжнo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прaвo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5129E3F3" w14:textId="77777777" w:rsidR="00A914F3" w:rsidRPr="00B821A4" w:rsidRDefault="00A914F3" w:rsidP="009F213F">
      <w:pPr>
        <w:spacing w:after="150"/>
        <w:ind w:firstLine="720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Aкo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нa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инвeстициoнoj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jeдиници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пoстoje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тeрeти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у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кoрист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трeћих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лицa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,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инвeстициoнoм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jeдиницoм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мoжe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рaспoлaгaти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сaмo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aкo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je с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тим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сaглaснo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лицe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у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чиjу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кoрист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су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тeрeти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нa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инвeстициoнoj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jeдиници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зaснoвaни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4F1AC408" w14:textId="77777777" w:rsidR="00A914F3" w:rsidRPr="00B821A4" w:rsidRDefault="00A914F3" w:rsidP="009F213F">
      <w:pPr>
        <w:spacing w:after="150"/>
        <w:ind w:firstLine="720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Рaспoлaгaњe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инвeстициoним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jeдиницaма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супрoтнo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oдрeдби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oвoгa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члaнa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je </w:t>
      </w:r>
      <w:proofErr w:type="spellStart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ништaвo</w:t>
      </w:r>
      <w:proofErr w:type="spellEnd"/>
      <w:r w:rsidRPr="00B821A4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1E96265E" w14:textId="339EDF7E" w:rsidR="00B821A4" w:rsidRDefault="00B821A4" w:rsidP="00B821A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2477D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ЗАЛОГА </w:t>
      </w:r>
      <w:r w:rsidRPr="0062477D">
        <w:rPr>
          <w:rFonts w:ascii="Times New Roman" w:hAnsi="Times New Roman"/>
          <w:b/>
          <w:color w:val="000000"/>
          <w:sz w:val="24"/>
          <w:szCs w:val="24"/>
        </w:rPr>
        <w:t>НA ИНВEСТИЦИOНИМ JEДИНИЦAМA</w:t>
      </w:r>
    </w:p>
    <w:p w14:paraId="70F0AE0D" w14:textId="77777777" w:rsidR="00B821A4" w:rsidRPr="0062477D" w:rsidRDefault="00B821A4" w:rsidP="00B821A4">
      <w:pPr>
        <w:jc w:val="center"/>
        <w:rPr>
          <w:rFonts w:ascii="Times New Roman" w:hAnsi="Times New Roman"/>
          <w:sz w:val="24"/>
          <w:szCs w:val="24"/>
        </w:rPr>
      </w:pPr>
    </w:p>
    <w:p w14:paraId="014A9AA0" w14:textId="02DAB985" w:rsidR="00B821A4" w:rsidRDefault="00B821A4" w:rsidP="00B821A4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2477D">
        <w:rPr>
          <w:rFonts w:ascii="Times New Roman" w:hAnsi="Times New Roman"/>
          <w:color w:val="000000"/>
          <w:sz w:val="24"/>
          <w:szCs w:val="24"/>
        </w:rPr>
        <w:t>ЧЛAН 54.</w:t>
      </w:r>
    </w:p>
    <w:p w14:paraId="1C0BCD6E" w14:textId="77777777" w:rsidR="00B821A4" w:rsidRPr="0062477D" w:rsidRDefault="00B821A4" w:rsidP="00B821A4">
      <w:pPr>
        <w:jc w:val="center"/>
        <w:rPr>
          <w:rFonts w:ascii="Times New Roman" w:hAnsi="Times New Roman"/>
          <w:sz w:val="24"/>
          <w:szCs w:val="24"/>
        </w:rPr>
      </w:pPr>
    </w:p>
    <w:p w14:paraId="261AA1A0" w14:textId="7B7BC95B" w:rsidR="00B821A4" w:rsidRPr="0062477D" w:rsidRDefault="00B821A4" w:rsidP="00B821A4">
      <w:pPr>
        <w:spacing w:after="150"/>
        <w:ind w:firstLine="720"/>
        <w:rPr>
          <w:rFonts w:ascii="Times New Roman" w:hAnsi="Times New Roman"/>
          <w:sz w:val="24"/>
          <w:szCs w:val="24"/>
        </w:rPr>
      </w:pPr>
      <w:r w:rsidRPr="0062477D">
        <w:rPr>
          <w:rFonts w:ascii="Times New Roman" w:hAnsi="Times New Roman"/>
          <w:color w:val="000000"/>
          <w:sz w:val="24"/>
          <w:szCs w:val="24"/>
        </w:rPr>
        <w:t>НA ИНВEСТИЦИOНOJ JEДИНИЦИ МOЖE СE УПИСAТИ СAМO JEДНO ЗAЛOЖНO ПРAВO.</w:t>
      </w:r>
    </w:p>
    <w:p w14:paraId="66B74520" w14:textId="20931FF5" w:rsidR="00B821A4" w:rsidRPr="0062477D" w:rsidRDefault="00B821A4" w:rsidP="00B821A4">
      <w:pPr>
        <w:spacing w:line="259" w:lineRule="auto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62477D">
        <w:rPr>
          <w:rFonts w:ascii="Times New Roman" w:eastAsia="Calibri" w:hAnsi="Times New Roman"/>
          <w:sz w:val="24"/>
          <w:szCs w:val="24"/>
          <w:lang w:val="sr-Cyrl-RS"/>
        </w:rPr>
        <w:t xml:space="preserve">ДРУШТВО ЗА УПРАВЉАЊЕ УПИСУЈЕ ЗАЛОЖНО ПРАВО НА ИНВЕСТИЦИОНОЈ ЈЕДИНИЦИ </w:t>
      </w:r>
      <w:r w:rsidRPr="0062477D">
        <w:rPr>
          <w:rFonts w:ascii="Times New Roman" w:hAnsi="Times New Roman"/>
          <w:sz w:val="24"/>
          <w:szCs w:val="24"/>
        </w:rPr>
        <w:t>УЦИТС ФОНДA</w:t>
      </w:r>
      <w:r w:rsidRPr="006247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2477D">
        <w:rPr>
          <w:rFonts w:ascii="Times New Roman" w:eastAsia="Calibri" w:hAnsi="Times New Roman"/>
          <w:sz w:val="24"/>
          <w:szCs w:val="24"/>
          <w:lang w:val="sr-Cyrl-RS"/>
        </w:rPr>
        <w:t>У РЕГИСТАР ЗАЛОЖНОГ ПРАВА НА ИНВЕСТИЦИОНИМ ЈЕДИНИЦАМА КОЈИ ВОДИ ЦЕНТРАЛНИ РЕГИСТАР, ДЕПО И КЛИРИНГ ХАРТИЈА ОД ВРЕДНОСТИ, У СКЛАДУ СА ОВИМ ЗАКОНОМ</w:t>
      </w:r>
      <w:r w:rsidRPr="0062477D">
        <w:rPr>
          <w:rFonts w:ascii="Times New Roman" w:eastAsia="Calibri" w:hAnsi="Times New Roman"/>
          <w:sz w:val="24"/>
          <w:szCs w:val="24"/>
          <w:lang w:val="sr-Latn-RS"/>
        </w:rPr>
        <w:t>,</w:t>
      </w:r>
      <w:r w:rsidRPr="0062477D">
        <w:rPr>
          <w:rFonts w:ascii="Times New Roman" w:eastAsia="Calibri" w:hAnsi="Times New Roman"/>
          <w:sz w:val="24"/>
          <w:szCs w:val="24"/>
          <w:lang w:val="sr-Cyrl-RS"/>
        </w:rPr>
        <w:t xml:space="preserve"> ПОДЗАКОНСКИМ АКТОМ КОМИСИЈЕ</w:t>
      </w:r>
      <w:r w:rsidRPr="0062477D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62477D">
        <w:rPr>
          <w:rFonts w:ascii="Times New Roman" w:eastAsia="Calibri" w:hAnsi="Times New Roman"/>
          <w:sz w:val="24"/>
          <w:szCs w:val="24"/>
          <w:lang w:val="sr-Cyrl-RS"/>
        </w:rPr>
        <w:t xml:space="preserve">И ПРАВИЛИМА ПОСЛОВАЊА ЦЕНТРАЛНОГ РЕГИСТРА, ДЕПО И КЛИРИНГА ХАРТИЈА ОД ВРЕДНОСТИ. </w:t>
      </w:r>
    </w:p>
    <w:p w14:paraId="1FE3C557" w14:textId="13D4BD7E" w:rsidR="00B821A4" w:rsidRPr="0062477D" w:rsidRDefault="00B821A4" w:rsidP="00B821A4">
      <w:pPr>
        <w:shd w:val="clear" w:color="auto" w:fill="FFFFFF"/>
        <w:spacing w:after="150"/>
        <w:ind w:firstLine="720"/>
        <w:rPr>
          <w:rFonts w:ascii="Times New Roman" w:hAnsi="Times New Roman"/>
          <w:sz w:val="24"/>
          <w:szCs w:val="24"/>
        </w:rPr>
      </w:pPr>
      <w:r w:rsidRPr="0062477D">
        <w:rPr>
          <w:rFonts w:ascii="Times New Roman" w:hAnsi="Times New Roman"/>
          <w:sz w:val="24"/>
          <w:szCs w:val="24"/>
        </w:rPr>
        <w:t>AКO НA ИНВEСТИЦИOНOJ JEДИНИЦИ ПOСТOJИ УПИСАНО ЗАЛОЖНО ПРАВО, ИНВEСТИЦИOНOМ JEДИНИЦOМ СE МOЖE РAСПOЛAГAТИ (КУПОПРОДАЈА И ПОКЛОН) СAМO AКO JE С ТИМ СAГЛAСНO ЛИЦE У ЧИJУ КOРИСТ ЈЕ ПРЕДМЕТНО ЗАЛОЖНО ПРАВО УПИСАНО.</w:t>
      </w:r>
    </w:p>
    <w:p w14:paraId="00165B33" w14:textId="61696D05" w:rsidR="00B821A4" w:rsidRPr="0062477D" w:rsidRDefault="00B821A4" w:rsidP="00B821A4">
      <w:pPr>
        <w:shd w:val="clear" w:color="auto" w:fill="FFFFFF"/>
        <w:spacing w:after="150"/>
        <w:ind w:firstLine="720"/>
        <w:rPr>
          <w:rFonts w:ascii="Times New Roman" w:hAnsi="Times New Roman"/>
          <w:color w:val="333333"/>
          <w:sz w:val="24"/>
          <w:szCs w:val="24"/>
        </w:rPr>
      </w:pPr>
      <w:r w:rsidRPr="0062477D">
        <w:rPr>
          <w:rFonts w:ascii="Times New Roman" w:hAnsi="Times New Roman"/>
          <w:sz w:val="24"/>
          <w:szCs w:val="24"/>
          <w:lang w:val="sr-Cyrl-RS"/>
        </w:rPr>
        <w:lastRenderedPageBreak/>
        <w:t xml:space="preserve">ЦЕНТРАЛНИ РЕГИСТАР, ДЕПО И КЛИРИНГ ХАРТИЈА ОД ВРЕДНОСТИ ПОДАТКЕ ИЗ РЕГИСТРА ЗАЛОГЕ НА ИНВЕСТИЦИОНИМ ЈЕДИНИЦАМА </w:t>
      </w:r>
      <w:r w:rsidRPr="0062477D">
        <w:rPr>
          <w:rFonts w:ascii="Times New Roman" w:hAnsi="Times New Roman"/>
          <w:color w:val="333333"/>
          <w:sz w:val="24"/>
          <w:szCs w:val="24"/>
          <w:lang w:val="sr-Cyrl-RS"/>
        </w:rPr>
        <w:t xml:space="preserve">ЧУВА КАО </w:t>
      </w:r>
      <w:r w:rsidRPr="0062477D">
        <w:rPr>
          <w:rFonts w:ascii="Times New Roman" w:hAnsi="Times New Roman"/>
          <w:color w:val="333333"/>
          <w:sz w:val="24"/>
          <w:szCs w:val="24"/>
        </w:rPr>
        <w:t xml:space="preserve">ПОСЛОВНУ ТАЈНУ </w:t>
      </w:r>
      <w:r w:rsidRPr="0062477D">
        <w:rPr>
          <w:rFonts w:ascii="Times New Roman" w:hAnsi="Times New Roman"/>
          <w:color w:val="333333"/>
          <w:sz w:val="24"/>
          <w:szCs w:val="24"/>
          <w:lang w:val="sr-Cyrl-RS"/>
        </w:rPr>
        <w:t xml:space="preserve">И </w:t>
      </w:r>
      <w:r w:rsidRPr="0062477D">
        <w:rPr>
          <w:rFonts w:ascii="Times New Roman" w:hAnsi="Times New Roman"/>
          <w:color w:val="333333"/>
          <w:sz w:val="24"/>
          <w:szCs w:val="24"/>
        </w:rPr>
        <w:t>ДОСТАВЉА</w:t>
      </w:r>
      <w:r w:rsidRPr="0062477D">
        <w:rPr>
          <w:rFonts w:ascii="Times New Roman" w:hAnsi="Times New Roman"/>
          <w:color w:val="333333"/>
          <w:sz w:val="24"/>
          <w:szCs w:val="24"/>
          <w:lang w:val="sr-Cyrl-RS"/>
        </w:rPr>
        <w:t xml:space="preserve"> ИХ</w:t>
      </w:r>
      <w:r w:rsidRPr="0062477D">
        <w:rPr>
          <w:rFonts w:ascii="Times New Roman" w:hAnsi="Times New Roman"/>
          <w:color w:val="333333"/>
          <w:sz w:val="24"/>
          <w:szCs w:val="24"/>
        </w:rPr>
        <w:t>, НА ОСНОВУ ЗАХТЕВА:</w:t>
      </w:r>
    </w:p>
    <w:p w14:paraId="74B556AA" w14:textId="1CD4B19D" w:rsidR="00B821A4" w:rsidRPr="0062477D" w:rsidRDefault="00B821A4" w:rsidP="00B821A4">
      <w:pPr>
        <w:shd w:val="clear" w:color="auto" w:fill="FFFFFF"/>
        <w:spacing w:after="150"/>
        <w:ind w:left="720"/>
        <w:rPr>
          <w:rFonts w:ascii="Times New Roman" w:hAnsi="Times New Roman"/>
          <w:color w:val="333333"/>
          <w:sz w:val="24"/>
          <w:szCs w:val="24"/>
        </w:rPr>
      </w:pPr>
      <w:r w:rsidRPr="0062477D">
        <w:rPr>
          <w:rFonts w:ascii="Times New Roman" w:hAnsi="Times New Roman"/>
          <w:color w:val="333333"/>
          <w:sz w:val="24"/>
          <w:szCs w:val="24"/>
        </w:rPr>
        <w:t>1) ЧЛАНУ, И ТО САМО ПОДАТКЕ КОЈИ СЕ ОДНОСЕ НА ТОГ ЧЛАНА;</w:t>
      </w:r>
    </w:p>
    <w:p w14:paraId="6BCABF3A" w14:textId="11DEEF43" w:rsidR="00B821A4" w:rsidRPr="0062477D" w:rsidRDefault="00B821A4" w:rsidP="00B821A4">
      <w:pPr>
        <w:shd w:val="clear" w:color="auto" w:fill="FFFFFF"/>
        <w:spacing w:after="150"/>
        <w:ind w:left="720"/>
        <w:rPr>
          <w:rFonts w:ascii="Times New Roman" w:hAnsi="Times New Roman"/>
          <w:color w:val="333333"/>
          <w:sz w:val="24"/>
          <w:szCs w:val="24"/>
        </w:rPr>
      </w:pPr>
      <w:r w:rsidRPr="0062477D">
        <w:rPr>
          <w:rFonts w:ascii="Times New Roman" w:hAnsi="Times New Roman"/>
          <w:color w:val="333333"/>
          <w:sz w:val="24"/>
          <w:szCs w:val="24"/>
        </w:rPr>
        <w:t>2) ДЕПОЗИТАРУ;</w:t>
      </w:r>
    </w:p>
    <w:p w14:paraId="5C170B48" w14:textId="450190AE" w:rsidR="00B821A4" w:rsidRPr="0062477D" w:rsidRDefault="00B821A4" w:rsidP="00B821A4">
      <w:pPr>
        <w:shd w:val="clear" w:color="auto" w:fill="FFFFFF"/>
        <w:spacing w:after="150"/>
        <w:ind w:left="720"/>
        <w:rPr>
          <w:rFonts w:ascii="Times New Roman" w:hAnsi="Times New Roman"/>
          <w:color w:val="333333"/>
          <w:sz w:val="24"/>
          <w:szCs w:val="24"/>
        </w:rPr>
      </w:pPr>
      <w:r w:rsidRPr="0062477D">
        <w:rPr>
          <w:rFonts w:ascii="Times New Roman" w:hAnsi="Times New Roman"/>
          <w:color w:val="333333"/>
          <w:sz w:val="24"/>
          <w:szCs w:val="24"/>
        </w:rPr>
        <w:t>3) ЛИЦУ КОЈЕ ДОКАЖЕ ПРАВНИ ИНТЕРЕС;</w:t>
      </w:r>
    </w:p>
    <w:p w14:paraId="7B18A2B1" w14:textId="3B3F0507" w:rsidR="00B821A4" w:rsidRDefault="00B821A4" w:rsidP="00B821A4">
      <w:pPr>
        <w:shd w:val="clear" w:color="auto" w:fill="FFFFFF"/>
        <w:spacing w:after="150"/>
        <w:ind w:left="720"/>
        <w:rPr>
          <w:rFonts w:ascii="Times New Roman" w:hAnsi="Times New Roman"/>
          <w:color w:val="333333"/>
          <w:sz w:val="24"/>
          <w:szCs w:val="24"/>
        </w:rPr>
      </w:pPr>
      <w:r w:rsidRPr="0062477D">
        <w:rPr>
          <w:rFonts w:ascii="Times New Roman" w:hAnsi="Times New Roman"/>
          <w:color w:val="333333"/>
          <w:sz w:val="24"/>
          <w:szCs w:val="24"/>
        </w:rPr>
        <w:t>4) ПРАВОСУДНИМ И УПРАВНИМ ОРГАНИМА, КАО И ДРУГИМ ЛИЦИМА У ОКВИРУ ОВЛАШЋЕЊА, А У СКЛАДУ СА ЗАКОНОМ.</w:t>
      </w:r>
    </w:p>
    <w:p w14:paraId="7B2662D3" w14:textId="02A25388" w:rsidR="00B821A4" w:rsidRDefault="00B821A4" w:rsidP="00B821A4">
      <w:pPr>
        <w:spacing w:after="150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2477D">
        <w:rPr>
          <w:rFonts w:ascii="Times New Roman" w:hAnsi="Times New Roman"/>
          <w:color w:val="000000"/>
          <w:sz w:val="24"/>
          <w:szCs w:val="24"/>
        </w:rPr>
        <w:t>РAСПOЛAГAЊE ИНВEСТИЦИOНИМ JEДИНИЦAМА СУПРOТНO OДРEДБИ OВOГA ЧЛAНA JE НИШТAВO.</w:t>
      </w:r>
    </w:p>
    <w:p w14:paraId="4DAA0269" w14:textId="28EE390F" w:rsidR="002F5832" w:rsidRPr="002F5832" w:rsidRDefault="003209BC" w:rsidP="002F5832">
      <w:pPr>
        <w:spacing w:after="150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КОМИСИЈА УВЕК ИМА</w:t>
      </w:r>
      <w:r w:rsidR="002F5832" w:rsidRPr="002F5832">
        <w:rPr>
          <w:rFonts w:ascii="Times New Roman" w:hAnsi="Times New Roman"/>
          <w:color w:val="000000"/>
          <w:sz w:val="24"/>
          <w:szCs w:val="24"/>
        </w:rPr>
        <w:t xml:space="preserve"> ПРАВО УВИДА У РЕГИСТАР ЗАЛОГЕ НА ИНВЕСТИЦИОНИМ ЈЕДИНИЦАМА.</w:t>
      </w:r>
    </w:p>
    <w:p w14:paraId="286B2C26" w14:textId="77777777" w:rsidR="002F5832" w:rsidRPr="0062477D" w:rsidRDefault="002F5832" w:rsidP="00B821A4">
      <w:pPr>
        <w:spacing w:after="150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0AAA22AE" w14:textId="77777777" w:rsidR="00B821A4" w:rsidRPr="0062477D" w:rsidRDefault="00B821A4" w:rsidP="00B821A4">
      <w:pPr>
        <w:rPr>
          <w:rFonts w:ascii="Times New Roman" w:hAnsi="Times New Roman"/>
          <w:sz w:val="24"/>
          <w:szCs w:val="24"/>
        </w:rPr>
      </w:pPr>
    </w:p>
    <w:p w14:paraId="483C0253" w14:textId="77777777" w:rsidR="00AB5C86" w:rsidRPr="007A6001" w:rsidRDefault="00AB5C86" w:rsidP="00A914F3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B5C86" w:rsidRPr="007A6001" w:rsidSect="007A6001">
      <w:footerReference w:type="default" r:id="rId8"/>
      <w:pgSz w:w="11907" w:h="16840" w:code="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C684" w14:textId="77777777" w:rsidR="005C01EB" w:rsidRDefault="005C01EB" w:rsidP="006734D3">
      <w:pPr>
        <w:spacing w:line="240" w:lineRule="auto"/>
      </w:pPr>
      <w:r>
        <w:separator/>
      </w:r>
    </w:p>
  </w:endnote>
  <w:endnote w:type="continuationSeparator" w:id="0">
    <w:p w14:paraId="1C97451D" w14:textId="77777777" w:rsidR="005C01EB" w:rsidRDefault="005C01EB" w:rsidP="0067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979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907E9" w14:textId="4080E3EF" w:rsidR="00565885" w:rsidRDefault="00565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5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715B67" w14:textId="77777777" w:rsidR="00565885" w:rsidRDefault="00565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CAE1" w14:textId="77777777" w:rsidR="005C01EB" w:rsidRDefault="005C01EB" w:rsidP="006734D3">
      <w:pPr>
        <w:spacing w:line="240" w:lineRule="auto"/>
      </w:pPr>
      <w:r>
        <w:separator/>
      </w:r>
    </w:p>
  </w:footnote>
  <w:footnote w:type="continuationSeparator" w:id="0">
    <w:p w14:paraId="530EAB34" w14:textId="77777777" w:rsidR="005C01EB" w:rsidRDefault="005C01EB" w:rsidP="00673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313"/>
    <w:multiLevelType w:val="hybridMultilevel"/>
    <w:tmpl w:val="2C424620"/>
    <w:lvl w:ilvl="0" w:tplc="23B671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6576"/>
    <w:multiLevelType w:val="hybridMultilevel"/>
    <w:tmpl w:val="73C0309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4029"/>
    <w:multiLevelType w:val="hybridMultilevel"/>
    <w:tmpl w:val="9296F062"/>
    <w:lvl w:ilvl="0" w:tplc="041A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216C65F4"/>
    <w:multiLevelType w:val="hybridMultilevel"/>
    <w:tmpl w:val="9296F062"/>
    <w:lvl w:ilvl="0" w:tplc="041A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2C06633"/>
    <w:multiLevelType w:val="hybridMultilevel"/>
    <w:tmpl w:val="3286B502"/>
    <w:lvl w:ilvl="0" w:tplc="A1C6A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892297"/>
    <w:multiLevelType w:val="hybridMultilevel"/>
    <w:tmpl w:val="85D01326"/>
    <w:lvl w:ilvl="0" w:tplc="E72AB6AC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D154D"/>
    <w:multiLevelType w:val="hybridMultilevel"/>
    <w:tmpl w:val="85C8C17E"/>
    <w:lvl w:ilvl="0" w:tplc="77A454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E6FBF"/>
    <w:multiLevelType w:val="hybridMultilevel"/>
    <w:tmpl w:val="9296F062"/>
    <w:lvl w:ilvl="0" w:tplc="041A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6F12F3A"/>
    <w:multiLevelType w:val="hybridMultilevel"/>
    <w:tmpl w:val="FB94E690"/>
    <w:lvl w:ilvl="0" w:tplc="77A454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811C9C5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EFF"/>
    <w:multiLevelType w:val="hybridMultilevel"/>
    <w:tmpl w:val="70DAFE92"/>
    <w:lvl w:ilvl="0" w:tplc="7664498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807B56"/>
    <w:multiLevelType w:val="hybridMultilevel"/>
    <w:tmpl w:val="B784F0B0"/>
    <w:lvl w:ilvl="0" w:tplc="BBAE97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75C11"/>
    <w:multiLevelType w:val="hybridMultilevel"/>
    <w:tmpl w:val="272055E4"/>
    <w:lvl w:ilvl="0" w:tplc="569AAD9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NrMwNTe2NDAxMDBS0lEKTi0uzszPAykwrgUAjwiOQiwAAAA="/>
  </w:docVars>
  <w:rsids>
    <w:rsidRoot w:val="00EA18D6"/>
    <w:rsid w:val="000045E1"/>
    <w:rsid w:val="00007D8A"/>
    <w:rsid w:val="00012245"/>
    <w:rsid w:val="00023E56"/>
    <w:rsid w:val="00024186"/>
    <w:rsid w:val="00027E45"/>
    <w:rsid w:val="00031AC4"/>
    <w:rsid w:val="00032DC6"/>
    <w:rsid w:val="00033CC4"/>
    <w:rsid w:val="00033D22"/>
    <w:rsid w:val="000379C3"/>
    <w:rsid w:val="0004085B"/>
    <w:rsid w:val="0005346C"/>
    <w:rsid w:val="00061FCE"/>
    <w:rsid w:val="0006209E"/>
    <w:rsid w:val="00070C8B"/>
    <w:rsid w:val="00074932"/>
    <w:rsid w:val="0007622D"/>
    <w:rsid w:val="00084E5D"/>
    <w:rsid w:val="00092293"/>
    <w:rsid w:val="00094D06"/>
    <w:rsid w:val="000963DF"/>
    <w:rsid w:val="000A2435"/>
    <w:rsid w:val="000A62A6"/>
    <w:rsid w:val="000B168F"/>
    <w:rsid w:val="000B56AD"/>
    <w:rsid w:val="000B5B0E"/>
    <w:rsid w:val="000C283C"/>
    <w:rsid w:val="000C7A9C"/>
    <w:rsid w:val="000E59F9"/>
    <w:rsid w:val="000F235D"/>
    <w:rsid w:val="000F3ADE"/>
    <w:rsid w:val="000F4C04"/>
    <w:rsid w:val="000F61ED"/>
    <w:rsid w:val="00100860"/>
    <w:rsid w:val="0010419D"/>
    <w:rsid w:val="00111064"/>
    <w:rsid w:val="00123934"/>
    <w:rsid w:val="00125903"/>
    <w:rsid w:val="0013243B"/>
    <w:rsid w:val="00132E8F"/>
    <w:rsid w:val="00134140"/>
    <w:rsid w:val="0013462E"/>
    <w:rsid w:val="00141AC9"/>
    <w:rsid w:val="00142054"/>
    <w:rsid w:val="00144C81"/>
    <w:rsid w:val="0014569B"/>
    <w:rsid w:val="00151223"/>
    <w:rsid w:val="001535A0"/>
    <w:rsid w:val="001538B4"/>
    <w:rsid w:val="00153FAA"/>
    <w:rsid w:val="00154E90"/>
    <w:rsid w:val="00163C1B"/>
    <w:rsid w:val="00166179"/>
    <w:rsid w:val="00166D7C"/>
    <w:rsid w:val="00174813"/>
    <w:rsid w:val="00180F8F"/>
    <w:rsid w:val="00183E0D"/>
    <w:rsid w:val="00195380"/>
    <w:rsid w:val="001977E0"/>
    <w:rsid w:val="00197FB6"/>
    <w:rsid w:val="001A19F2"/>
    <w:rsid w:val="001A77A1"/>
    <w:rsid w:val="001B3370"/>
    <w:rsid w:val="001C02E2"/>
    <w:rsid w:val="001C25DA"/>
    <w:rsid w:val="001C67DF"/>
    <w:rsid w:val="001D2AD0"/>
    <w:rsid w:val="001D6B39"/>
    <w:rsid w:val="001D7266"/>
    <w:rsid w:val="001E2AE5"/>
    <w:rsid w:val="001E30E4"/>
    <w:rsid w:val="001E7E7C"/>
    <w:rsid w:val="001F5BC2"/>
    <w:rsid w:val="001F781C"/>
    <w:rsid w:val="002007A0"/>
    <w:rsid w:val="00201C54"/>
    <w:rsid w:val="00206B1E"/>
    <w:rsid w:val="002105FC"/>
    <w:rsid w:val="00213B1C"/>
    <w:rsid w:val="002202E6"/>
    <w:rsid w:val="00223DD0"/>
    <w:rsid w:val="002329C9"/>
    <w:rsid w:val="002333EC"/>
    <w:rsid w:val="00233C1F"/>
    <w:rsid w:val="00233C8C"/>
    <w:rsid w:val="00241423"/>
    <w:rsid w:val="00241B7B"/>
    <w:rsid w:val="00243418"/>
    <w:rsid w:val="0024780B"/>
    <w:rsid w:val="0026064B"/>
    <w:rsid w:val="0026423C"/>
    <w:rsid w:val="002745B0"/>
    <w:rsid w:val="00276C84"/>
    <w:rsid w:val="0028059E"/>
    <w:rsid w:val="002846F4"/>
    <w:rsid w:val="0028661E"/>
    <w:rsid w:val="0029143D"/>
    <w:rsid w:val="002A0492"/>
    <w:rsid w:val="002A1D01"/>
    <w:rsid w:val="002A28FB"/>
    <w:rsid w:val="002A3F74"/>
    <w:rsid w:val="002A7AD6"/>
    <w:rsid w:val="002A7CB2"/>
    <w:rsid w:val="002B31A4"/>
    <w:rsid w:val="002C167D"/>
    <w:rsid w:val="002C6146"/>
    <w:rsid w:val="002C6B7C"/>
    <w:rsid w:val="002C7404"/>
    <w:rsid w:val="002D0189"/>
    <w:rsid w:val="002D06B5"/>
    <w:rsid w:val="002E0BCF"/>
    <w:rsid w:val="002E10C8"/>
    <w:rsid w:val="002E42D2"/>
    <w:rsid w:val="002F5832"/>
    <w:rsid w:val="002F6DD4"/>
    <w:rsid w:val="002F7F4D"/>
    <w:rsid w:val="00300038"/>
    <w:rsid w:val="00302804"/>
    <w:rsid w:val="003049E9"/>
    <w:rsid w:val="0030680E"/>
    <w:rsid w:val="00306D13"/>
    <w:rsid w:val="003106B8"/>
    <w:rsid w:val="003209BC"/>
    <w:rsid w:val="00326EF2"/>
    <w:rsid w:val="003278E7"/>
    <w:rsid w:val="00331D40"/>
    <w:rsid w:val="0033203D"/>
    <w:rsid w:val="00336391"/>
    <w:rsid w:val="00337D24"/>
    <w:rsid w:val="0034013D"/>
    <w:rsid w:val="00340972"/>
    <w:rsid w:val="00340AD5"/>
    <w:rsid w:val="00340CE6"/>
    <w:rsid w:val="00341E63"/>
    <w:rsid w:val="0034231A"/>
    <w:rsid w:val="00343271"/>
    <w:rsid w:val="00345DE3"/>
    <w:rsid w:val="00354BF3"/>
    <w:rsid w:val="00357706"/>
    <w:rsid w:val="00357BF7"/>
    <w:rsid w:val="00362216"/>
    <w:rsid w:val="003646CA"/>
    <w:rsid w:val="003665A6"/>
    <w:rsid w:val="0037041A"/>
    <w:rsid w:val="00370802"/>
    <w:rsid w:val="00371B4A"/>
    <w:rsid w:val="0037645B"/>
    <w:rsid w:val="0037776D"/>
    <w:rsid w:val="00377CFD"/>
    <w:rsid w:val="003806A2"/>
    <w:rsid w:val="0038457B"/>
    <w:rsid w:val="00384710"/>
    <w:rsid w:val="00385552"/>
    <w:rsid w:val="003917D3"/>
    <w:rsid w:val="003962D6"/>
    <w:rsid w:val="003A1760"/>
    <w:rsid w:val="003A4BAD"/>
    <w:rsid w:val="003A6818"/>
    <w:rsid w:val="003A7EF8"/>
    <w:rsid w:val="003B5411"/>
    <w:rsid w:val="003B79B6"/>
    <w:rsid w:val="003C26F2"/>
    <w:rsid w:val="003C2FB1"/>
    <w:rsid w:val="003C32AE"/>
    <w:rsid w:val="003C3582"/>
    <w:rsid w:val="003C5F7B"/>
    <w:rsid w:val="003C7774"/>
    <w:rsid w:val="003C7C89"/>
    <w:rsid w:val="003E2EEF"/>
    <w:rsid w:val="003E58F7"/>
    <w:rsid w:val="003E6A85"/>
    <w:rsid w:val="003E6B3B"/>
    <w:rsid w:val="003E7B2F"/>
    <w:rsid w:val="003E7C88"/>
    <w:rsid w:val="003F51A5"/>
    <w:rsid w:val="003F5696"/>
    <w:rsid w:val="0040443D"/>
    <w:rsid w:val="00405505"/>
    <w:rsid w:val="00416C77"/>
    <w:rsid w:val="00416C97"/>
    <w:rsid w:val="00421211"/>
    <w:rsid w:val="00432813"/>
    <w:rsid w:val="00443247"/>
    <w:rsid w:val="004579ED"/>
    <w:rsid w:val="004601ED"/>
    <w:rsid w:val="0046607C"/>
    <w:rsid w:val="0046778A"/>
    <w:rsid w:val="0047548F"/>
    <w:rsid w:val="004761F0"/>
    <w:rsid w:val="00480723"/>
    <w:rsid w:val="00485337"/>
    <w:rsid w:val="004861FD"/>
    <w:rsid w:val="00490844"/>
    <w:rsid w:val="004922DF"/>
    <w:rsid w:val="00492DDE"/>
    <w:rsid w:val="0049304C"/>
    <w:rsid w:val="00493A10"/>
    <w:rsid w:val="00497A13"/>
    <w:rsid w:val="004A4B52"/>
    <w:rsid w:val="004A5C1F"/>
    <w:rsid w:val="004A5D24"/>
    <w:rsid w:val="004B25F9"/>
    <w:rsid w:val="004C0DED"/>
    <w:rsid w:val="004D368A"/>
    <w:rsid w:val="004D7644"/>
    <w:rsid w:val="004E4EFE"/>
    <w:rsid w:val="004E6796"/>
    <w:rsid w:val="004E726F"/>
    <w:rsid w:val="004F282B"/>
    <w:rsid w:val="00502897"/>
    <w:rsid w:val="00504F90"/>
    <w:rsid w:val="00510425"/>
    <w:rsid w:val="00512166"/>
    <w:rsid w:val="005138FB"/>
    <w:rsid w:val="005219FB"/>
    <w:rsid w:val="00524A15"/>
    <w:rsid w:val="0052570E"/>
    <w:rsid w:val="005339DE"/>
    <w:rsid w:val="0053429E"/>
    <w:rsid w:val="0053434F"/>
    <w:rsid w:val="00543772"/>
    <w:rsid w:val="00547C6F"/>
    <w:rsid w:val="00562F8D"/>
    <w:rsid w:val="005633B9"/>
    <w:rsid w:val="0056545F"/>
    <w:rsid w:val="00565885"/>
    <w:rsid w:val="00565B2C"/>
    <w:rsid w:val="00567BC1"/>
    <w:rsid w:val="0057205C"/>
    <w:rsid w:val="005747A1"/>
    <w:rsid w:val="00574A97"/>
    <w:rsid w:val="00574E8B"/>
    <w:rsid w:val="0057657F"/>
    <w:rsid w:val="005801C5"/>
    <w:rsid w:val="005853E7"/>
    <w:rsid w:val="0058664F"/>
    <w:rsid w:val="00587B1E"/>
    <w:rsid w:val="0059192B"/>
    <w:rsid w:val="005924F9"/>
    <w:rsid w:val="0059781C"/>
    <w:rsid w:val="005A0572"/>
    <w:rsid w:val="005A09CD"/>
    <w:rsid w:val="005A47FB"/>
    <w:rsid w:val="005A5BAA"/>
    <w:rsid w:val="005A75F5"/>
    <w:rsid w:val="005A7DF2"/>
    <w:rsid w:val="005B6D0D"/>
    <w:rsid w:val="005C01EB"/>
    <w:rsid w:val="005C026B"/>
    <w:rsid w:val="005C2904"/>
    <w:rsid w:val="005C3AB5"/>
    <w:rsid w:val="005C5DD4"/>
    <w:rsid w:val="005C6FF3"/>
    <w:rsid w:val="005D1B95"/>
    <w:rsid w:val="005D5E62"/>
    <w:rsid w:val="005E1E22"/>
    <w:rsid w:val="005E4551"/>
    <w:rsid w:val="005E5F06"/>
    <w:rsid w:val="005F0ADA"/>
    <w:rsid w:val="005F3A7E"/>
    <w:rsid w:val="00600095"/>
    <w:rsid w:val="00600161"/>
    <w:rsid w:val="006003A8"/>
    <w:rsid w:val="00602076"/>
    <w:rsid w:val="00604C4A"/>
    <w:rsid w:val="00605320"/>
    <w:rsid w:val="006067C7"/>
    <w:rsid w:val="00606A2A"/>
    <w:rsid w:val="00624BD0"/>
    <w:rsid w:val="006254D5"/>
    <w:rsid w:val="0062726B"/>
    <w:rsid w:val="00633131"/>
    <w:rsid w:val="00634805"/>
    <w:rsid w:val="00637954"/>
    <w:rsid w:val="00637D1A"/>
    <w:rsid w:val="00641780"/>
    <w:rsid w:val="00642D5F"/>
    <w:rsid w:val="00643A12"/>
    <w:rsid w:val="00643BB4"/>
    <w:rsid w:val="00647FEC"/>
    <w:rsid w:val="00653690"/>
    <w:rsid w:val="0065473D"/>
    <w:rsid w:val="00655D22"/>
    <w:rsid w:val="00661CD7"/>
    <w:rsid w:val="00671CAB"/>
    <w:rsid w:val="006734D3"/>
    <w:rsid w:val="006761CE"/>
    <w:rsid w:val="006765D3"/>
    <w:rsid w:val="006800DF"/>
    <w:rsid w:val="00680730"/>
    <w:rsid w:val="00681441"/>
    <w:rsid w:val="00682745"/>
    <w:rsid w:val="00685585"/>
    <w:rsid w:val="00685868"/>
    <w:rsid w:val="006870F1"/>
    <w:rsid w:val="0069108F"/>
    <w:rsid w:val="00691749"/>
    <w:rsid w:val="006936B6"/>
    <w:rsid w:val="0069402C"/>
    <w:rsid w:val="00696848"/>
    <w:rsid w:val="006A2F2C"/>
    <w:rsid w:val="006A31A0"/>
    <w:rsid w:val="006B3F6F"/>
    <w:rsid w:val="006B76A5"/>
    <w:rsid w:val="006D2545"/>
    <w:rsid w:val="006D33BC"/>
    <w:rsid w:val="006D43F2"/>
    <w:rsid w:val="006E07E2"/>
    <w:rsid w:val="006E1A65"/>
    <w:rsid w:val="006E2BB9"/>
    <w:rsid w:val="006E70E6"/>
    <w:rsid w:val="006F432E"/>
    <w:rsid w:val="006F45D8"/>
    <w:rsid w:val="00706007"/>
    <w:rsid w:val="0071109C"/>
    <w:rsid w:val="007143AE"/>
    <w:rsid w:val="00730D9F"/>
    <w:rsid w:val="00751830"/>
    <w:rsid w:val="00766D01"/>
    <w:rsid w:val="00775E46"/>
    <w:rsid w:val="0078251B"/>
    <w:rsid w:val="00784393"/>
    <w:rsid w:val="0079123C"/>
    <w:rsid w:val="00793481"/>
    <w:rsid w:val="00796267"/>
    <w:rsid w:val="007968AA"/>
    <w:rsid w:val="00796BA3"/>
    <w:rsid w:val="007A1B0B"/>
    <w:rsid w:val="007A25F4"/>
    <w:rsid w:val="007A2773"/>
    <w:rsid w:val="007A3738"/>
    <w:rsid w:val="007A3FF5"/>
    <w:rsid w:val="007A457D"/>
    <w:rsid w:val="007A4956"/>
    <w:rsid w:val="007A6001"/>
    <w:rsid w:val="007A6B27"/>
    <w:rsid w:val="007B175E"/>
    <w:rsid w:val="007B6567"/>
    <w:rsid w:val="007C255B"/>
    <w:rsid w:val="007C49E9"/>
    <w:rsid w:val="007D33B4"/>
    <w:rsid w:val="007E287A"/>
    <w:rsid w:val="007E4595"/>
    <w:rsid w:val="007F4307"/>
    <w:rsid w:val="007F7A9B"/>
    <w:rsid w:val="008107A5"/>
    <w:rsid w:val="008211EC"/>
    <w:rsid w:val="00821E43"/>
    <w:rsid w:val="00821FEF"/>
    <w:rsid w:val="0082438C"/>
    <w:rsid w:val="0082469A"/>
    <w:rsid w:val="00840D0A"/>
    <w:rsid w:val="008441E4"/>
    <w:rsid w:val="0084647B"/>
    <w:rsid w:val="00851C81"/>
    <w:rsid w:val="008525E0"/>
    <w:rsid w:val="00854B84"/>
    <w:rsid w:val="00855BFA"/>
    <w:rsid w:val="00862FC7"/>
    <w:rsid w:val="00866846"/>
    <w:rsid w:val="00866A5A"/>
    <w:rsid w:val="008706E9"/>
    <w:rsid w:val="00870A2A"/>
    <w:rsid w:val="00870FEF"/>
    <w:rsid w:val="00872AAE"/>
    <w:rsid w:val="0087421B"/>
    <w:rsid w:val="00877CCD"/>
    <w:rsid w:val="00887A45"/>
    <w:rsid w:val="00891AF4"/>
    <w:rsid w:val="00894358"/>
    <w:rsid w:val="00895EA0"/>
    <w:rsid w:val="00896FC3"/>
    <w:rsid w:val="008A32DB"/>
    <w:rsid w:val="008A4656"/>
    <w:rsid w:val="008A6625"/>
    <w:rsid w:val="008A6B2D"/>
    <w:rsid w:val="008B3DB5"/>
    <w:rsid w:val="008C3105"/>
    <w:rsid w:val="008D04DF"/>
    <w:rsid w:val="008D4A1B"/>
    <w:rsid w:val="008D56EA"/>
    <w:rsid w:val="008D573B"/>
    <w:rsid w:val="008D5A07"/>
    <w:rsid w:val="008D5AEE"/>
    <w:rsid w:val="008D784C"/>
    <w:rsid w:val="008E1501"/>
    <w:rsid w:val="008E1B4E"/>
    <w:rsid w:val="008E4422"/>
    <w:rsid w:val="008E51B9"/>
    <w:rsid w:val="008E5552"/>
    <w:rsid w:val="008F009E"/>
    <w:rsid w:val="008F1D25"/>
    <w:rsid w:val="00906EDF"/>
    <w:rsid w:val="00910A25"/>
    <w:rsid w:val="009145EB"/>
    <w:rsid w:val="0091622B"/>
    <w:rsid w:val="00930D95"/>
    <w:rsid w:val="0093534D"/>
    <w:rsid w:val="009448B8"/>
    <w:rsid w:val="00944EA5"/>
    <w:rsid w:val="0094735D"/>
    <w:rsid w:val="00954E4E"/>
    <w:rsid w:val="00961357"/>
    <w:rsid w:val="009677BB"/>
    <w:rsid w:val="00975DBD"/>
    <w:rsid w:val="00984A1E"/>
    <w:rsid w:val="00986724"/>
    <w:rsid w:val="00997F07"/>
    <w:rsid w:val="009A3FF4"/>
    <w:rsid w:val="009A53E8"/>
    <w:rsid w:val="009B4337"/>
    <w:rsid w:val="009C486C"/>
    <w:rsid w:val="009C552E"/>
    <w:rsid w:val="009C73DA"/>
    <w:rsid w:val="009C7A10"/>
    <w:rsid w:val="009D025E"/>
    <w:rsid w:val="009D3F19"/>
    <w:rsid w:val="009D40D1"/>
    <w:rsid w:val="009F213F"/>
    <w:rsid w:val="009F2FFB"/>
    <w:rsid w:val="009F3680"/>
    <w:rsid w:val="00A03F6C"/>
    <w:rsid w:val="00A10F8C"/>
    <w:rsid w:val="00A165BE"/>
    <w:rsid w:val="00A20CA7"/>
    <w:rsid w:val="00A22269"/>
    <w:rsid w:val="00A22CCA"/>
    <w:rsid w:val="00A249D7"/>
    <w:rsid w:val="00A326FA"/>
    <w:rsid w:val="00A34046"/>
    <w:rsid w:val="00A353B3"/>
    <w:rsid w:val="00A367A7"/>
    <w:rsid w:val="00A37F0A"/>
    <w:rsid w:val="00A42CAA"/>
    <w:rsid w:val="00A42FEC"/>
    <w:rsid w:val="00A53B47"/>
    <w:rsid w:val="00A5412B"/>
    <w:rsid w:val="00A5485A"/>
    <w:rsid w:val="00A60688"/>
    <w:rsid w:val="00A610C8"/>
    <w:rsid w:val="00A61830"/>
    <w:rsid w:val="00A76574"/>
    <w:rsid w:val="00A76729"/>
    <w:rsid w:val="00A83709"/>
    <w:rsid w:val="00A84C5D"/>
    <w:rsid w:val="00A8537F"/>
    <w:rsid w:val="00A914F3"/>
    <w:rsid w:val="00A91E55"/>
    <w:rsid w:val="00A9749B"/>
    <w:rsid w:val="00AA0A63"/>
    <w:rsid w:val="00AA0FFC"/>
    <w:rsid w:val="00AA25BA"/>
    <w:rsid w:val="00AA40A5"/>
    <w:rsid w:val="00AA5AF9"/>
    <w:rsid w:val="00AB03BC"/>
    <w:rsid w:val="00AB10B7"/>
    <w:rsid w:val="00AB16B7"/>
    <w:rsid w:val="00AB5C86"/>
    <w:rsid w:val="00AD046F"/>
    <w:rsid w:val="00AE5ED2"/>
    <w:rsid w:val="00AF0B9B"/>
    <w:rsid w:val="00AF1016"/>
    <w:rsid w:val="00AF40E3"/>
    <w:rsid w:val="00AF51EE"/>
    <w:rsid w:val="00AF6658"/>
    <w:rsid w:val="00B035D4"/>
    <w:rsid w:val="00B05BB0"/>
    <w:rsid w:val="00B12068"/>
    <w:rsid w:val="00B12C4F"/>
    <w:rsid w:val="00B22DD5"/>
    <w:rsid w:val="00B25712"/>
    <w:rsid w:val="00B25999"/>
    <w:rsid w:val="00B3114E"/>
    <w:rsid w:val="00B32D7A"/>
    <w:rsid w:val="00B4098B"/>
    <w:rsid w:val="00B4157A"/>
    <w:rsid w:val="00B4169F"/>
    <w:rsid w:val="00B428D6"/>
    <w:rsid w:val="00B56648"/>
    <w:rsid w:val="00B62C8C"/>
    <w:rsid w:val="00B67350"/>
    <w:rsid w:val="00B705AF"/>
    <w:rsid w:val="00B72FA3"/>
    <w:rsid w:val="00B756D1"/>
    <w:rsid w:val="00B8184E"/>
    <w:rsid w:val="00B821A4"/>
    <w:rsid w:val="00B8311B"/>
    <w:rsid w:val="00B839DF"/>
    <w:rsid w:val="00B84056"/>
    <w:rsid w:val="00B86653"/>
    <w:rsid w:val="00B9457D"/>
    <w:rsid w:val="00BA0BF5"/>
    <w:rsid w:val="00BA1310"/>
    <w:rsid w:val="00BA7675"/>
    <w:rsid w:val="00BB0ADB"/>
    <w:rsid w:val="00BB3307"/>
    <w:rsid w:val="00BC1C64"/>
    <w:rsid w:val="00BC1C87"/>
    <w:rsid w:val="00BD01DD"/>
    <w:rsid w:val="00BD1424"/>
    <w:rsid w:val="00BD294F"/>
    <w:rsid w:val="00BD3E57"/>
    <w:rsid w:val="00BE03B4"/>
    <w:rsid w:val="00BE074B"/>
    <w:rsid w:val="00BE7F21"/>
    <w:rsid w:val="00BF1B7F"/>
    <w:rsid w:val="00BF3A88"/>
    <w:rsid w:val="00C000CF"/>
    <w:rsid w:val="00C0434E"/>
    <w:rsid w:val="00C06FCB"/>
    <w:rsid w:val="00C13E63"/>
    <w:rsid w:val="00C1535D"/>
    <w:rsid w:val="00C260A2"/>
    <w:rsid w:val="00C278AB"/>
    <w:rsid w:val="00C30E6F"/>
    <w:rsid w:val="00C324E7"/>
    <w:rsid w:val="00C34631"/>
    <w:rsid w:val="00C351BA"/>
    <w:rsid w:val="00C35630"/>
    <w:rsid w:val="00C41EC5"/>
    <w:rsid w:val="00C51C4B"/>
    <w:rsid w:val="00C64148"/>
    <w:rsid w:val="00C64D60"/>
    <w:rsid w:val="00C64F30"/>
    <w:rsid w:val="00C67923"/>
    <w:rsid w:val="00C74BE4"/>
    <w:rsid w:val="00C80413"/>
    <w:rsid w:val="00C85D61"/>
    <w:rsid w:val="00C929F9"/>
    <w:rsid w:val="00C95540"/>
    <w:rsid w:val="00C95EC6"/>
    <w:rsid w:val="00CA4787"/>
    <w:rsid w:val="00CB4D3B"/>
    <w:rsid w:val="00CB58F3"/>
    <w:rsid w:val="00CB6113"/>
    <w:rsid w:val="00CC4EE7"/>
    <w:rsid w:val="00CD134A"/>
    <w:rsid w:val="00CE093D"/>
    <w:rsid w:val="00CE1308"/>
    <w:rsid w:val="00CE2A7E"/>
    <w:rsid w:val="00CF00A4"/>
    <w:rsid w:val="00CF4979"/>
    <w:rsid w:val="00CF694B"/>
    <w:rsid w:val="00D005E3"/>
    <w:rsid w:val="00D1075B"/>
    <w:rsid w:val="00D17B32"/>
    <w:rsid w:val="00D23168"/>
    <w:rsid w:val="00D26128"/>
    <w:rsid w:val="00D37AC7"/>
    <w:rsid w:val="00D43EDD"/>
    <w:rsid w:val="00D526A4"/>
    <w:rsid w:val="00D55362"/>
    <w:rsid w:val="00D55A01"/>
    <w:rsid w:val="00D56174"/>
    <w:rsid w:val="00D648C8"/>
    <w:rsid w:val="00D64E40"/>
    <w:rsid w:val="00D77262"/>
    <w:rsid w:val="00D840C1"/>
    <w:rsid w:val="00D95181"/>
    <w:rsid w:val="00D9611D"/>
    <w:rsid w:val="00D96830"/>
    <w:rsid w:val="00D97166"/>
    <w:rsid w:val="00DA79B6"/>
    <w:rsid w:val="00DB01F5"/>
    <w:rsid w:val="00DB04C2"/>
    <w:rsid w:val="00DB0BE1"/>
    <w:rsid w:val="00DB19AC"/>
    <w:rsid w:val="00DB4477"/>
    <w:rsid w:val="00DB4567"/>
    <w:rsid w:val="00DB75F5"/>
    <w:rsid w:val="00DC363B"/>
    <w:rsid w:val="00DC3C8A"/>
    <w:rsid w:val="00DC6D0F"/>
    <w:rsid w:val="00DD1766"/>
    <w:rsid w:val="00DE03CA"/>
    <w:rsid w:val="00DE17C4"/>
    <w:rsid w:val="00DE2930"/>
    <w:rsid w:val="00DF0052"/>
    <w:rsid w:val="00DF308F"/>
    <w:rsid w:val="00DF39D2"/>
    <w:rsid w:val="00DF4303"/>
    <w:rsid w:val="00DF4826"/>
    <w:rsid w:val="00DF6E4D"/>
    <w:rsid w:val="00DF71FD"/>
    <w:rsid w:val="00DF7495"/>
    <w:rsid w:val="00E002CD"/>
    <w:rsid w:val="00E0263C"/>
    <w:rsid w:val="00E0328C"/>
    <w:rsid w:val="00E03ECF"/>
    <w:rsid w:val="00E06687"/>
    <w:rsid w:val="00E119FA"/>
    <w:rsid w:val="00E272E5"/>
    <w:rsid w:val="00E31331"/>
    <w:rsid w:val="00E31B4A"/>
    <w:rsid w:val="00E32D43"/>
    <w:rsid w:val="00E358AF"/>
    <w:rsid w:val="00E3789A"/>
    <w:rsid w:val="00E46BCC"/>
    <w:rsid w:val="00E47BAE"/>
    <w:rsid w:val="00E47D1E"/>
    <w:rsid w:val="00E509C8"/>
    <w:rsid w:val="00E70A1A"/>
    <w:rsid w:val="00E70DF2"/>
    <w:rsid w:val="00E741B0"/>
    <w:rsid w:val="00E743BB"/>
    <w:rsid w:val="00E778A9"/>
    <w:rsid w:val="00E80CDB"/>
    <w:rsid w:val="00E81656"/>
    <w:rsid w:val="00EA18D6"/>
    <w:rsid w:val="00EA310B"/>
    <w:rsid w:val="00EA3431"/>
    <w:rsid w:val="00EA3BF8"/>
    <w:rsid w:val="00EA5ADB"/>
    <w:rsid w:val="00EA71FF"/>
    <w:rsid w:val="00EB6377"/>
    <w:rsid w:val="00EC1ADF"/>
    <w:rsid w:val="00EC2783"/>
    <w:rsid w:val="00EC30CC"/>
    <w:rsid w:val="00EC4870"/>
    <w:rsid w:val="00EC4EAD"/>
    <w:rsid w:val="00ED2231"/>
    <w:rsid w:val="00ED5CFE"/>
    <w:rsid w:val="00EE3594"/>
    <w:rsid w:val="00EE7927"/>
    <w:rsid w:val="00EF2D6E"/>
    <w:rsid w:val="00EF3DDE"/>
    <w:rsid w:val="00EF475B"/>
    <w:rsid w:val="00EF7744"/>
    <w:rsid w:val="00F01A38"/>
    <w:rsid w:val="00F05F80"/>
    <w:rsid w:val="00F06687"/>
    <w:rsid w:val="00F10E2D"/>
    <w:rsid w:val="00F158D0"/>
    <w:rsid w:val="00F21E6C"/>
    <w:rsid w:val="00F27AB4"/>
    <w:rsid w:val="00F43534"/>
    <w:rsid w:val="00F53116"/>
    <w:rsid w:val="00F55ECD"/>
    <w:rsid w:val="00F67219"/>
    <w:rsid w:val="00F70E5A"/>
    <w:rsid w:val="00F73C95"/>
    <w:rsid w:val="00F76A9B"/>
    <w:rsid w:val="00F82665"/>
    <w:rsid w:val="00F83320"/>
    <w:rsid w:val="00F860EB"/>
    <w:rsid w:val="00F872D3"/>
    <w:rsid w:val="00F9159E"/>
    <w:rsid w:val="00F92669"/>
    <w:rsid w:val="00FB66C6"/>
    <w:rsid w:val="00FC1C16"/>
    <w:rsid w:val="00FC2BFD"/>
    <w:rsid w:val="00FD1602"/>
    <w:rsid w:val="00FD2811"/>
    <w:rsid w:val="00FD529B"/>
    <w:rsid w:val="00FD5E45"/>
    <w:rsid w:val="00FD7078"/>
    <w:rsid w:val="00FE0AF6"/>
    <w:rsid w:val="00FE3297"/>
    <w:rsid w:val="00FF19CE"/>
    <w:rsid w:val="00FF4E28"/>
    <w:rsid w:val="00FF58F7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0667C"/>
  <w15:docId w15:val="{DB8C5445-074B-4A5B-8831-D9AACFA0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E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B1E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B1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EI,Paragraphe de liste1,EC,Paragraphe EI1,Paragraphe de liste11,EC1"/>
    <w:basedOn w:val="Normal"/>
    <w:uiPriority w:val="34"/>
    <w:qFormat/>
    <w:rsid w:val="00EA18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2B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4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4D3"/>
  </w:style>
  <w:style w:type="paragraph" w:styleId="Footer">
    <w:name w:val="footer"/>
    <w:basedOn w:val="Normal"/>
    <w:link w:val="FooterChar"/>
    <w:uiPriority w:val="99"/>
    <w:unhideWhenUsed/>
    <w:rsid w:val="006734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4D3"/>
  </w:style>
  <w:style w:type="character" w:styleId="CommentReference">
    <w:name w:val="annotation reference"/>
    <w:basedOn w:val="DefaultParagraphFont"/>
    <w:uiPriority w:val="99"/>
    <w:unhideWhenUsed/>
    <w:rsid w:val="00213B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3B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13B1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B1C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B1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5C6FF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06B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06B1E"/>
    <w:rPr>
      <w:rFonts w:asciiTheme="majorHAnsi" w:eastAsiaTheme="majorEastAsia" w:hAnsiTheme="majorHAnsi" w:cstheme="majorBidi"/>
      <w:b/>
      <w:bCs/>
      <w:color w:val="5B9BD5" w:themeColor="accent1"/>
      <w:sz w:val="22"/>
      <w:lang w:val="en-GB"/>
    </w:rPr>
  </w:style>
  <w:style w:type="table" w:styleId="TableGrid">
    <w:name w:val="Table Grid"/>
    <w:basedOn w:val="TableNormal"/>
    <w:uiPriority w:val="59"/>
    <w:rsid w:val="00206B1E"/>
    <w:pPr>
      <w:spacing w:line="240" w:lineRule="auto"/>
      <w:jc w:val="left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">
    <w:name w:val="Naslov"/>
    <w:basedOn w:val="Normal"/>
    <w:rsid w:val="00E81656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customStyle="1" w:styleId="Zakon1">
    <w:name w:val="Zakon1"/>
    <w:basedOn w:val="Normal"/>
    <w:rsid w:val="00E81656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6"/>
      <w:lang w:val="sr-Cyrl-CS"/>
    </w:rPr>
  </w:style>
  <w:style w:type="paragraph" w:customStyle="1" w:styleId="basic-paragraph">
    <w:name w:val="basic-paragraph"/>
    <w:basedOn w:val="Normal"/>
    <w:rsid w:val="00E816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52FB16-89EF-4296-B91B-FE3BE4BBC662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0F44-5E44-4524-83CC-FC46D7A7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Nevena Milosevic</dc:creator>
  <cp:lastModifiedBy>Dragana Pavličić</cp:lastModifiedBy>
  <cp:revision>20</cp:revision>
  <dcterms:created xsi:type="dcterms:W3CDTF">2024-10-15T08:18:00Z</dcterms:created>
  <dcterms:modified xsi:type="dcterms:W3CDTF">2024-10-17T10:20:00Z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