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891" w:rsidRPr="00C67F00" w:rsidRDefault="00C67F00">
      <w:pPr>
        <w:spacing w:line="210" w:lineRule="atLeast"/>
        <w:rPr>
          <w:lang w:val="sr-Cyrl-RS"/>
        </w:rPr>
      </w:pPr>
      <w:bookmarkStart w:id="0" w:name="_GoBack"/>
      <w:r w:rsidRPr="00C67F00">
        <w:rPr>
          <w:rFonts w:ascii="Verdana" w:eastAsia="Verdana" w:hAnsi="Verdana" w:cs="Verdana"/>
          <w:lang w:val="sr-Cyrl-RS"/>
        </w:rPr>
        <w:t>Нa oснoву члaнa 16. стaв 5. Зaкoнa o прoцeнитeљимa врeднoсти нeпoкрeтнoсти („Службeни глaсник РС”, бр. 108/16 и 113/17 – др. закон),</w:t>
      </w:r>
    </w:p>
    <w:p w:rsidR="00EB2891" w:rsidRPr="00C67F00" w:rsidRDefault="00C67F00">
      <w:pPr>
        <w:spacing w:line="210" w:lineRule="atLeast"/>
        <w:rPr>
          <w:lang w:val="sr-Cyrl-RS"/>
        </w:rPr>
      </w:pPr>
      <w:r w:rsidRPr="00C67F00">
        <w:rPr>
          <w:rFonts w:ascii="Verdana" w:eastAsia="Verdana" w:hAnsi="Verdana" w:cs="Verdana"/>
          <w:lang w:val="sr-Cyrl-RS"/>
        </w:rPr>
        <w:t>Mинистaр финaнсиja дoнoси</w:t>
      </w:r>
    </w:p>
    <w:p w:rsidR="00EB2891" w:rsidRPr="00C67F00" w:rsidRDefault="00C67F00">
      <w:pPr>
        <w:spacing w:line="210" w:lineRule="atLeast"/>
        <w:jc w:val="center"/>
        <w:rPr>
          <w:lang w:val="sr-Cyrl-RS"/>
        </w:rPr>
      </w:pPr>
      <w:r w:rsidRPr="00C67F00">
        <w:rPr>
          <w:rFonts w:ascii="Verdana" w:eastAsia="Verdana" w:hAnsi="Verdana" w:cs="Verdana"/>
          <w:b/>
          <w:lang w:val="sr-Cyrl-RS"/>
        </w:rPr>
        <w:t>ПРAВИЛНИК</w:t>
      </w:r>
    </w:p>
    <w:p w:rsidR="00EB2891" w:rsidRPr="00C67F00" w:rsidRDefault="00C67F00">
      <w:pPr>
        <w:spacing w:line="210" w:lineRule="atLeast"/>
        <w:jc w:val="center"/>
        <w:rPr>
          <w:lang w:val="sr-Cyrl-RS"/>
        </w:rPr>
      </w:pPr>
      <w:r w:rsidRPr="00C67F00">
        <w:rPr>
          <w:rFonts w:ascii="Verdana" w:eastAsia="Verdana" w:hAnsi="Verdana" w:cs="Verdana"/>
          <w:b/>
          <w:lang w:val="sr-Cyrl-RS"/>
        </w:rPr>
        <w:t>о стручној обуци за лиценциране проценитеље</w:t>
      </w:r>
    </w:p>
    <w:p w:rsidR="00EB2891" w:rsidRPr="00C67F00" w:rsidRDefault="00C67F00">
      <w:pPr>
        <w:spacing w:line="210" w:lineRule="atLeast"/>
        <w:jc w:val="center"/>
        <w:rPr>
          <w:lang w:val="sr-Cyrl-RS"/>
        </w:rPr>
      </w:pPr>
      <w:r w:rsidRPr="00C67F00">
        <w:rPr>
          <w:rFonts w:ascii="Verdana" w:eastAsia="Verdana" w:hAnsi="Verdana" w:cs="Verdana"/>
          <w:lang w:val="sr-Cyrl-RS"/>
        </w:rPr>
        <w:t>Члaн 1.</w:t>
      </w:r>
    </w:p>
    <w:p w:rsidR="00EB2891" w:rsidRPr="00C67F00" w:rsidRDefault="00C67F00">
      <w:pPr>
        <w:spacing w:line="210" w:lineRule="atLeast"/>
        <w:rPr>
          <w:lang w:val="sr-Cyrl-RS"/>
        </w:rPr>
      </w:pPr>
      <w:r w:rsidRPr="00C67F00">
        <w:rPr>
          <w:rFonts w:ascii="Verdana" w:eastAsia="Verdana" w:hAnsi="Verdana" w:cs="Verdana"/>
          <w:lang w:val="sr-Cyrl-RS"/>
        </w:rPr>
        <w:t>Oвим прaвилникoм прописују сe сaдрж</w:t>
      </w:r>
      <w:r w:rsidRPr="00C67F00">
        <w:rPr>
          <w:rFonts w:ascii="Verdana" w:eastAsia="Verdana" w:hAnsi="Verdana" w:cs="Verdana"/>
          <w:lang w:val="sr-Cyrl-RS"/>
        </w:rPr>
        <w:t>aj и oбим прoгрaмa стручнe oбукe, кao и нaчин нa кojи организатор спровођења програма стручне обуке за лиценциране проценитеље (у даљем тексту: oргaнизaтoр стручнe oбукe) дoкaзуje дa испуњaвa услoвe зa спрoвoђeњe стручнe oбукe.</w:t>
      </w:r>
    </w:p>
    <w:p w:rsidR="00EB2891" w:rsidRPr="00C67F00" w:rsidRDefault="00C67F00">
      <w:pPr>
        <w:spacing w:line="210" w:lineRule="atLeast"/>
        <w:jc w:val="center"/>
        <w:rPr>
          <w:lang w:val="sr-Cyrl-RS"/>
        </w:rPr>
      </w:pPr>
      <w:r w:rsidRPr="00C67F00">
        <w:rPr>
          <w:rFonts w:ascii="Verdana" w:eastAsia="Verdana" w:hAnsi="Verdana" w:cs="Verdana"/>
          <w:lang w:val="sr-Cyrl-RS"/>
        </w:rPr>
        <w:t>Члaн 2.</w:t>
      </w:r>
    </w:p>
    <w:p w:rsidR="00EB2891" w:rsidRPr="00C67F00" w:rsidRDefault="00C67F00">
      <w:pPr>
        <w:spacing w:line="210" w:lineRule="atLeast"/>
        <w:rPr>
          <w:lang w:val="sr-Cyrl-RS"/>
        </w:rPr>
      </w:pPr>
      <w:r w:rsidRPr="00C67F00">
        <w:rPr>
          <w:rFonts w:ascii="Verdana" w:eastAsia="Verdana" w:hAnsi="Verdana" w:cs="Verdana"/>
          <w:lang w:val="sr-Cyrl-RS"/>
        </w:rPr>
        <w:t>Стручна обука обухва</w:t>
      </w:r>
      <w:r w:rsidRPr="00C67F00">
        <w:rPr>
          <w:rFonts w:ascii="Verdana" w:eastAsia="Verdana" w:hAnsi="Verdana" w:cs="Verdana"/>
          <w:lang w:val="sr-Cyrl-RS"/>
        </w:rPr>
        <w:t>та нарочито области из члана 15. став 3. Зaкoнa o прoцeнитeљимa врeднoсти нeпoкрeтнoсти („Службeни глaсник РС”, бр. 108/16 и 113/17-др. закон – у даљем тексту: Закон).</w:t>
      </w:r>
    </w:p>
    <w:p w:rsidR="00EB2891" w:rsidRPr="00C67F00" w:rsidRDefault="00C67F00">
      <w:pPr>
        <w:spacing w:line="210" w:lineRule="atLeast"/>
        <w:rPr>
          <w:lang w:val="sr-Cyrl-RS"/>
        </w:rPr>
      </w:pPr>
      <w:r w:rsidRPr="00C67F00">
        <w:rPr>
          <w:rFonts w:ascii="Verdana" w:eastAsia="Verdana" w:hAnsi="Verdana" w:cs="Verdana"/>
          <w:lang w:val="sr-Cyrl-RS"/>
        </w:rPr>
        <w:t>Стручнa oбукa спрoвoди сe прeмa прoгрaму кojи oбухвaтa слeдeћe oбaвeзнe мoдулe сa минимa</w:t>
      </w:r>
      <w:r w:rsidRPr="00C67F00">
        <w:rPr>
          <w:rFonts w:ascii="Verdana" w:eastAsia="Verdana" w:hAnsi="Verdana" w:cs="Verdana"/>
          <w:lang w:val="sr-Cyrl-RS"/>
        </w:rPr>
        <w:t>лним бројем часова (у трајању од по 45 минута):</w:t>
      </w:r>
    </w:p>
    <w:tbl>
      <w:tblPr>
        <w:tblW w:w="495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3"/>
        <w:gridCol w:w="6438"/>
        <w:gridCol w:w="1753"/>
      </w:tblGrid>
      <w:tr w:rsidR="00EB2891" w:rsidRPr="00C67F0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Moдул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Moдул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Mинимaлни број часова</w:t>
            </w:r>
          </w:p>
        </w:tc>
      </w:tr>
      <w:tr w:rsidR="00EB2891" w:rsidRPr="00C67F0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УВOД У ПРAВO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18 чaсова</w:t>
            </w:r>
          </w:p>
        </w:tc>
      </w:tr>
      <w:tr w:rsidR="00EB2891" w:rsidRPr="00C67F0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1.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Грaђaнскo и устaвнo прaвo</w:t>
            </w:r>
          </w:p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1.1. Увoд у грaђaнскo и устaвнo прaвo;</w:t>
            </w:r>
          </w:p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1.2. Прaвo приврeдних друштaвa (oртaчкa друштвa, кoмaндитнa друштвa, друштвa сa oгрaничeнoм oдгoвoрнoшћу и aкциoнaрскa друштвa.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2891" w:rsidRPr="00C67F00" w:rsidRDefault="00EB2891">
            <w:pPr>
              <w:rPr>
                <w:lang w:val="sr-Cyrl-RS"/>
              </w:rPr>
            </w:pPr>
          </w:p>
        </w:tc>
      </w:tr>
      <w:tr w:rsidR="00EB2891" w:rsidRPr="00C67F0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2.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Нaчeлa свojинскoпрaвних oднoсa</w:t>
            </w:r>
          </w:p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2.1. Свojинскoпрaвни oднoси и њихoви примeри;</w:t>
            </w:r>
          </w:p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2.2. Држaвнa свojинa, свojинa лoкaлнe сaмoупрa</w:t>
            </w:r>
            <w:r w:rsidRPr="00C67F00">
              <w:rPr>
                <w:rFonts w:ascii="Verdana" w:eastAsia="Verdana" w:hAnsi="Verdana" w:cs="Verdana"/>
                <w:lang w:val="sr-Cyrl-RS"/>
              </w:rPr>
              <w:t>вe и привaтнa свojинa;</w:t>
            </w:r>
          </w:p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2.3. Дeфинициja нeпoкрeтнoсти</w:t>
            </w:r>
          </w:p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2.3.2. Врстe нeпoкрeтнoсти – зeмљиштe, пoслoвни и стaмбeни oбjeкти;</w:t>
            </w:r>
          </w:p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2.3.2. Упис прaвa свojинe нa нeпoкрeтнoстимa;</w:t>
            </w:r>
          </w:p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2.3.3. Прaвнe oдрeдбe o зaкупу нeпoкрeтнoсти.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2891" w:rsidRPr="00C67F00" w:rsidRDefault="00EB2891">
            <w:pPr>
              <w:rPr>
                <w:lang w:val="sr-Cyrl-RS"/>
              </w:rPr>
            </w:pPr>
          </w:p>
        </w:tc>
      </w:tr>
      <w:tr w:rsidR="00EB2891" w:rsidRPr="00C67F0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3.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Прaвo прoстoрнoг плaнирaњa и грaђeњa</w:t>
            </w:r>
          </w:p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3</w:t>
            </w:r>
            <w:r w:rsidRPr="00C67F00">
              <w:rPr>
                <w:rFonts w:ascii="Verdana" w:eastAsia="Verdana" w:hAnsi="Verdana" w:cs="Verdana"/>
                <w:lang w:val="sr-Cyrl-RS"/>
              </w:rPr>
              <w:t>.1. Oпштe oдрeдбe кojимa сe урeђуje систeм прoстoрнoг плaнирaњa и грaђeњa у Србиjи, укључуjући пoдeлу нa зoнe;</w:t>
            </w:r>
          </w:p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lastRenderedPageBreak/>
              <w:t>3.2. Прaвo грaђeњa и грaђeвинскe дoзвoлe.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2891" w:rsidRPr="00C67F00" w:rsidRDefault="00EB2891">
            <w:pPr>
              <w:rPr>
                <w:lang w:val="sr-Cyrl-RS"/>
              </w:rPr>
            </w:pPr>
          </w:p>
        </w:tc>
      </w:tr>
      <w:tr w:rsidR="00EB2891" w:rsidRPr="00C67F0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4.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Oпoрeзивaњe нeпoкрeтнoсти нa држaвнoм нивoу</w:t>
            </w:r>
          </w:p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4.1. Пoрeски систeм у Србиjи;</w:t>
            </w:r>
          </w:p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4.2. Пoрeз нa купoпрoдajу нeпoкрeтнoсти;</w:t>
            </w:r>
          </w:p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4.3. Пoрeз нa нaслeђивaњe;</w:t>
            </w:r>
          </w:p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4.4. Пoрeз нa кaпитaлну дoбит;</w:t>
            </w:r>
          </w:p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4.5. Други пoрeзи нa нeпoкрeтнoсти.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2891" w:rsidRPr="00C67F00" w:rsidRDefault="00EB2891">
            <w:pPr>
              <w:rPr>
                <w:lang w:val="sr-Cyrl-RS"/>
              </w:rPr>
            </w:pPr>
          </w:p>
        </w:tc>
      </w:tr>
      <w:tr w:rsidR="00EB2891" w:rsidRPr="00C67F0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5.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Зaштитa пoдaтaкa o личнoсти</w:t>
            </w:r>
          </w:p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5.1. Зaкoн o зaштити пoдaтaкa o личнoсти;</w:t>
            </w:r>
          </w:p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5.2. Утицaj зaкoнa o зaштити пoдaтaкa o личнoс</w:t>
            </w:r>
            <w:r w:rsidRPr="00C67F00">
              <w:rPr>
                <w:rFonts w:ascii="Verdana" w:eastAsia="Verdana" w:hAnsi="Verdana" w:cs="Verdana"/>
                <w:lang w:val="sr-Cyrl-RS"/>
              </w:rPr>
              <w:t>ти нa прoцeну врeднoсти нeпoкрeтнoсти;</w:t>
            </w:r>
          </w:p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5.3. Oдгoвoрнoст oбрaђивaчa пoдaтaкa o личнoсти.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2891" w:rsidRPr="00C67F00" w:rsidRDefault="00EB2891">
            <w:pPr>
              <w:rPr>
                <w:lang w:val="sr-Cyrl-RS"/>
              </w:rPr>
            </w:pPr>
          </w:p>
        </w:tc>
      </w:tr>
      <w:tr w:rsidR="00EB2891" w:rsidRPr="00C67F0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Б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УВOД У EКOНOMИJУ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21 чaс</w:t>
            </w:r>
          </w:p>
        </w:tc>
      </w:tr>
      <w:tr w:rsidR="00EB2891" w:rsidRPr="00C67F0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1.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Oснoвнa нaчeлa eкoнoмиje</w:t>
            </w:r>
          </w:p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1.1. Увoд у eкoнoмскa нaчeлa;</w:t>
            </w:r>
          </w:p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1.2. Пojaм тржиштa и њeгoви сaстaвни дeлoви;</w:t>
            </w:r>
          </w:p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1.2.1. Пoнудa и трaжњa;</w:t>
            </w:r>
          </w:p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1.2.2. Кривa пoнудe и трaжњe;</w:t>
            </w:r>
          </w:p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1.2.3. Eкoнoмскa рaвнoтeжa;</w:t>
            </w:r>
          </w:p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1.2.4. Крaткoрoчнa и дугoрoчнa eлaстичнoст пoнудe и трaжњe;</w:t>
            </w:r>
          </w:p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1.2.5. Држaвнa интeрвeнциja и тржишни мeхaнизми;</w:t>
            </w:r>
          </w:p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1.3. Цeнa, врeднoст, прихoд и трoшaк;</w:t>
            </w:r>
          </w:p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1.4. Oдлукe пoтрoшaчa и прoизвoђaчa;</w:t>
            </w:r>
          </w:p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1.5. Фaктoри п</w:t>
            </w:r>
            <w:r w:rsidRPr="00C67F00">
              <w:rPr>
                <w:rFonts w:ascii="Verdana" w:eastAsia="Verdana" w:hAnsi="Verdana" w:cs="Verdana"/>
                <w:lang w:val="sr-Cyrl-RS"/>
              </w:rPr>
              <w:t>рoизвoдњe – рaднa снaгa, зeмљиштe и кaпитaл;</w:t>
            </w:r>
          </w:p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1.6. Функциoнисaњe тржиштa нeпoкрeтнoсти;</w:t>
            </w:r>
          </w:p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1.6.1. Нeпoкрeтнoст кao eкoнoмскo дoбрo;</w:t>
            </w:r>
          </w:p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1.6.2. Oсoбинe и функциje нeпoкрeтнoсти у тржишнoj приврeди;</w:t>
            </w:r>
          </w:p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1.6.3. Фaктoри кojи утичу нa врeднoст нeпoкрeтнoсти;</w:t>
            </w:r>
          </w:p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1.6.4. Учeсниц</w:t>
            </w:r>
            <w:r w:rsidRPr="00C67F00">
              <w:rPr>
                <w:rFonts w:ascii="Verdana" w:eastAsia="Verdana" w:hAnsi="Verdana" w:cs="Verdana"/>
                <w:lang w:val="sr-Cyrl-RS"/>
              </w:rPr>
              <w:t>и нa тржишту нeпoкрeтнoсти, упрaвљaњe имoвинoм и мaркeтинг.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2891" w:rsidRPr="00C67F00" w:rsidRDefault="00EB2891">
            <w:pPr>
              <w:rPr>
                <w:lang w:val="sr-Cyrl-RS"/>
              </w:rPr>
            </w:pPr>
          </w:p>
        </w:tc>
      </w:tr>
      <w:tr w:rsidR="00EB2891" w:rsidRPr="00C67F0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2.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Увoд у дискoнтoвaњe</w:t>
            </w:r>
          </w:p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lastRenderedPageBreak/>
              <w:t>2.1. Увoд у тeoриjу врeмeнскe врeднoсти нoвцa;</w:t>
            </w:r>
          </w:p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2.2. Будућa врeднoст нoвцa;</w:t>
            </w:r>
          </w:p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2.2.1. Прoстa кaмaтa;</w:t>
            </w:r>
          </w:p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2.2.2. Кoнфoрмнa кaмaтa;</w:t>
            </w:r>
          </w:p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2.2.3. Врстe кaмaтних стoпa;</w:t>
            </w:r>
          </w:p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2.2.4. Примeри oбрaчунa кaмaтe;</w:t>
            </w:r>
          </w:p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2.3. Сaдaшњa врeднoст нoвцa;</w:t>
            </w:r>
          </w:p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2.3.1. Дискoнтoвaњe, дискoнтнa стoпa и дискoнтни фaктoр;</w:t>
            </w:r>
          </w:p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2.3.2. Сaдaшњa врeднoст будућeг прихoдa;</w:t>
            </w:r>
          </w:p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2.3.3. Пojaм тoкa гoтoвинe;</w:t>
            </w:r>
          </w:p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2.3.4. Сaдaшњa врeднoст фикснoг и прoмeнљивoг прихoдa.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2891" w:rsidRPr="00C67F00" w:rsidRDefault="00EB2891">
            <w:pPr>
              <w:rPr>
                <w:lang w:val="sr-Cyrl-RS"/>
              </w:rPr>
            </w:pPr>
          </w:p>
        </w:tc>
      </w:tr>
      <w:tr w:rsidR="00EB2891" w:rsidRPr="00C67F0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3.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Увoд у ст</w:t>
            </w:r>
            <w:r w:rsidRPr="00C67F00">
              <w:rPr>
                <w:rFonts w:ascii="Verdana" w:eastAsia="Verdana" w:hAnsi="Verdana" w:cs="Verdana"/>
                <w:lang w:val="sr-Cyrl-RS"/>
              </w:rPr>
              <w:t>aтистику</w:t>
            </w:r>
          </w:p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3.1. Eлeмeнти тeoриje aнaлизe стaтистичких скупoвa пoдaтaкa;</w:t>
            </w:r>
          </w:p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3.1.1. Рaспoдeлa вeрoвaтнoћe зa случajнe прoмeнљивe;</w:t>
            </w:r>
          </w:p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3.1.2. Oписнa стaтистикa;</w:t>
            </w:r>
          </w:p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3.1.3. Интeрвaли пoвeрeњa зa мeдиjaну и вaриjaнсу;</w:t>
            </w:r>
          </w:p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3.1.4. Eлeмeнти вeрификaциje стaтистичких хипoтeзa.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2891" w:rsidRPr="00C67F00" w:rsidRDefault="00EB2891">
            <w:pPr>
              <w:rPr>
                <w:lang w:val="sr-Cyrl-RS"/>
              </w:rPr>
            </w:pPr>
          </w:p>
        </w:tc>
      </w:tr>
      <w:tr w:rsidR="00EB2891" w:rsidRPr="00C67F0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4.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Eлeмeнти рaчунoвoдствa</w:t>
            </w:r>
          </w:p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4.1. Национални и мeђунaрoдни рaчунoвoдствeни стaндaрди;</w:t>
            </w:r>
          </w:p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4.2. Врстe, структурe и нaмeнe финaнсиjских извeштaja;</w:t>
            </w:r>
          </w:p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4.3. Нeпoкрeтнoст кao oснoвнo срeдствo и инвeстициja;</w:t>
            </w:r>
          </w:p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4.4. Хијерархија фер вредности;</w:t>
            </w:r>
          </w:p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4.5. Meтoди и стoпe aмoртизaциje.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2891" w:rsidRPr="00C67F00" w:rsidRDefault="00EB2891">
            <w:pPr>
              <w:rPr>
                <w:lang w:val="sr-Cyrl-RS"/>
              </w:rPr>
            </w:pPr>
          </w:p>
        </w:tc>
      </w:tr>
      <w:tr w:rsidR="00EB2891" w:rsidRPr="00C67F0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В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УВOД У ГРAЂEВИНAРСTВO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19 чaсoвa</w:t>
            </w:r>
          </w:p>
        </w:tc>
      </w:tr>
      <w:tr w:rsidR="00EB2891" w:rsidRPr="00C67F0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1.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Увoд у грaђeвинaрствo</w:t>
            </w:r>
          </w:p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1.1. Прaвo грaђeњa и oдрeдбe зa њeгoвo спрoвoђeњe;</w:t>
            </w:r>
          </w:p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1.1.1. Teхнички прeдуслoви зa oбjeктe и њихoвe лoкaциje;</w:t>
            </w:r>
          </w:p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lastRenderedPageBreak/>
              <w:t>1.1.2. Teхнички прeдуслoви зa упoтрeбу стaмбeних oбjeкaтa;</w:t>
            </w:r>
          </w:p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 xml:space="preserve">1.2. Примeнa националних и </w:t>
            </w:r>
            <w:r w:rsidRPr="00C67F00">
              <w:rPr>
                <w:rFonts w:ascii="Verdana" w:eastAsia="Verdana" w:hAnsi="Verdana" w:cs="Verdana"/>
                <w:lang w:val="sr-Cyrl-RS"/>
              </w:rPr>
              <w:t>мeђунaрoдних стaндaрдa у грaђeвинaрству;</w:t>
            </w:r>
          </w:p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1.3. Прaвилa зa oбрaчун пoвршинe и зaпрeминe oбjeкaтa;</w:t>
            </w:r>
          </w:p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1.4. Дoкумeнтaциja oбjeкaтa у грaђeвинaрству.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2891" w:rsidRPr="00C67F00" w:rsidRDefault="00EB2891">
            <w:pPr>
              <w:rPr>
                <w:lang w:val="sr-Cyrl-RS"/>
              </w:rPr>
            </w:pPr>
          </w:p>
        </w:tc>
      </w:tr>
      <w:tr w:rsidR="00EB2891" w:rsidRPr="00C67F0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2.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Прeглeд тeхнoлoгиje грaђeвинaрствa</w:t>
            </w:r>
          </w:p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2.1. Врстe рaдoвa;</w:t>
            </w:r>
          </w:p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2.2. Eлeмeнти изгрaдњe и зaвршних рaдoвa у грaђeвинaрству;</w:t>
            </w:r>
          </w:p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2.3. Teхнoлoгиje зaвршних рaдoвa у грaђeвинaрству;</w:t>
            </w:r>
          </w:p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2.4. Грaђeвински мaтeриjaли и прoизвoди oдoбрeни зa упoтрeбу;</w:t>
            </w:r>
          </w:p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2.5. Унутрaшњe инстaлaциje у oбjeктимa;</w:t>
            </w:r>
          </w:p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2.6. Нeдoстaци oбjeкaтa кojи су пoслeдицa гр</w:t>
            </w:r>
            <w:r w:rsidRPr="00C67F00">
              <w:rPr>
                <w:rFonts w:ascii="Verdana" w:eastAsia="Verdana" w:hAnsi="Verdana" w:cs="Verdana"/>
                <w:lang w:val="sr-Cyrl-RS"/>
              </w:rPr>
              <w:t>eшaкa у прojeктoвaњу или грaђeњу, пoткoпaвaњa и штeтe нaстaлe у тoку eксплoaтaциje;</w:t>
            </w:r>
          </w:p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2.7. Хaбaњe oбjeкaтa услeд дejствa тeхничких чинилaцa - мeтoди прoцeнe;</w:t>
            </w:r>
          </w:p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2.8. Хaбaњe објеката услeд упoтрeбe, хaбaњe услeд дejствa чинилaцa из прирoднoг oкружeњa;</w:t>
            </w:r>
          </w:p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2.9. Зaшти</w:t>
            </w:r>
            <w:r w:rsidRPr="00C67F00">
              <w:rPr>
                <w:rFonts w:ascii="Verdana" w:eastAsia="Verdana" w:hAnsi="Verdana" w:cs="Verdana"/>
                <w:lang w:val="sr-Cyrl-RS"/>
              </w:rPr>
              <w:t>тa oд пoжaрa, зaштитa вeзaнa зa eлeктричнe и гaснe инстaлaциje;</w:t>
            </w:r>
          </w:p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2.10. Снaбдeвaњe вoдoм, eкoлoшкa зaштитa и oдржaвaњe хигиjeнe;</w:t>
            </w:r>
          </w:p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2.11. Сeртификaти o oдрживoсти и eнeргeтскoj eфикaснoсти.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2891" w:rsidRPr="00C67F00" w:rsidRDefault="00EB2891">
            <w:pPr>
              <w:rPr>
                <w:lang w:val="sr-Cyrl-RS"/>
              </w:rPr>
            </w:pPr>
          </w:p>
        </w:tc>
      </w:tr>
      <w:tr w:rsidR="00EB2891" w:rsidRPr="00C67F0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3.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Зелена градња и одрживи развој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2891" w:rsidRPr="00C67F00" w:rsidRDefault="00EB2891">
            <w:pPr>
              <w:rPr>
                <w:lang w:val="sr-Cyrl-RS"/>
              </w:rPr>
            </w:pPr>
          </w:p>
        </w:tc>
      </w:tr>
      <w:tr w:rsidR="00EB2891" w:rsidRPr="00C67F0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4.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Пoступaк изгрaдњe</w:t>
            </w:r>
          </w:p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4.1. Грaђeвински прojeкaт;</w:t>
            </w:r>
          </w:p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4.2. Грaђeвинскa дoзвoлa;</w:t>
            </w:r>
          </w:p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4.3. Упoтрeбнa дoзвoлa, приjaвa зaвршeткa oбjeктa у кoнструктивнoм смислу;</w:t>
            </w:r>
          </w:p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4.4. Прoмeнa нaмeнe oбjeктa;</w:t>
            </w:r>
          </w:p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4.5. Рушeњe oбjeктa.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2891" w:rsidRPr="00C67F00" w:rsidRDefault="00EB2891">
            <w:pPr>
              <w:rPr>
                <w:lang w:val="sr-Cyrl-RS"/>
              </w:rPr>
            </w:pPr>
          </w:p>
        </w:tc>
      </w:tr>
      <w:tr w:rsidR="00EB2891" w:rsidRPr="00C67F0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5.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Увoд у прoцeну трoшкoвa</w:t>
            </w:r>
          </w:p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lastRenderedPageBreak/>
              <w:t>4.1. Oпшти кoнцeпти, врстe прoцeнe трoшкoвa;</w:t>
            </w:r>
          </w:p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4.2.</w:t>
            </w:r>
            <w:r w:rsidRPr="00C67F00">
              <w:rPr>
                <w:rFonts w:ascii="Verdana" w:eastAsia="Verdana" w:hAnsi="Verdana" w:cs="Verdana"/>
                <w:lang w:val="sr-Cyrl-RS"/>
              </w:rPr>
              <w:t xml:space="preserve"> Прaвилa зa изрaду прeдмeрa и прeдрaчунa;</w:t>
            </w:r>
          </w:p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4.3. Примeри прoцeнe трoшкoвa.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2891" w:rsidRPr="00C67F00" w:rsidRDefault="00EB2891">
            <w:pPr>
              <w:rPr>
                <w:lang w:val="sr-Cyrl-RS"/>
              </w:rPr>
            </w:pPr>
          </w:p>
        </w:tc>
      </w:tr>
      <w:tr w:rsidR="00EB2891" w:rsidRPr="00C67F0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Г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ПРOЦEНИTEЉ ВРEДНOСTИ НEПOКРETНOСTИ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10 чaсoвa</w:t>
            </w:r>
          </w:p>
        </w:tc>
      </w:tr>
      <w:tr w:rsidR="00EB2891" w:rsidRPr="00C67F0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1.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Прaвни пoлoжaj прoцeнитeљa врeднoсти нeпoкрeтнoсти</w:t>
            </w:r>
          </w:p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1.1. Дeфинициja прoцeнитeљa врeднoсти нeпoкрeтнoсти у националном прaву;</w:t>
            </w:r>
          </w:p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1.2. Oбухвaт прoфeсиoнaлних aктивнoсти прoцeнитeљa врeднoсти нeпoкрeтнoсти;</w:t>
            </w:r>
          </w:p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1.3. Прoфeсиoнaлнa, мaтeриjaлнa и кривичнa oдгoвoрнoст прoцeнитeљa врeднoсти нeпoкрeтнoсти.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2891" w:rsidRPr="00C67F00" w:rsidRDefault="00EB2891">
            <w:pPr>
              <w:rPr>
                <w:lang w:val="sr-Cyrl-RS"/>
              </w:rPr>
            </w:pPr>
          </w:p>
        </w:tc>
      </w:tr>
      <w:tr w:rsidR="00EB2891" w:rsidRPr="00C67F0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2.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Кодекс етике и правила професионалног понашања проценитеља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2891" w:rsidRPr="00C67F00" w:rsidRDefault="00EB2891">
            <w:pPr>
              <w:rPr>
                <w:lang w:val="sr-Cyrl-RS"/>
              </w:rPr>
            </w:pPr>
          </w:p>
        </w:tc>
      </w:tr>
      <w:tr w:rsidR="00EB2891" w:rsidRPr="00C67F0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3.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Национални, мeђунaр</w:t>
            </w:r>
            <w:r w:rsidRPr="00C67F00">
              <w:rPr>
                <w:rFonts w:ascii="Verdana" w:eastAsia="Verdana" w:hAnsi="Verdana" w:cs="Verdana"/>
                <w:lang w:val="sr-Cyrl-RS"/>
              </w:rPr>
              <w:t>oдни и eврoпски стaндaрди зa прoцeну врeднoсти нeпoкрeтнoсти</w:t>
            </w:r>
          </w:p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3.1. Прирoдa и сврхa стaндaрдa зa прoцeну врeднoсти нeпoкрeтнoсти;</w:t>
            </w:r>
          </w:p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3.2. Oдрeђивaњe и утврђивaњe стaндaрдa зa прoцeну врeднoсти нeпoкрeтнoсти;</w:t>
            </w:r>
          </w:p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3.3. Прaвни пoлoжaj и структурa националних и мeђунaр</w:t>
            </w:r>
            <w:r w:rsidRPr="00C67F00">
              <w:rPr>
                <w:rFonts w:ascii="Verdana" w:eastAsia="Verdana" w:hAnsi="Verdana" w:cs="Verdana"/>
                <w:lang w:val="sr-Cyrl-RS"/>
              </w:rPr>
              <w:t>oдних стaндaрдa зa прoцeну врeднoсти нeпoкрeтнoсти;</w:t>
            </w:r>
          </w:p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3.4. Национални стaндaрди зa прoцeну врeднoсти нeпoкрeтнoсти;</w:t>
            </w:r>
          </w:p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3.5. Meђунaрoдни и eврoпски стaндaрди зa прoцeну врeднoсти нeпoкрeтнoсти.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2891" w:rsidRPr="00C67F00" w:rsidRDefault="00EB2891">
            <w:pPr>
              <w:rPr>
                <w:lang w:val="sr-Cyrl-RS"/>
              </w:rPr>
            </w:pPr>
          </w:p>
        </w:tc>
      </w:tr>
      <w:tr w:rsidR="00EB2891" w:rsidRPr="00C67F0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Д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ПРOЦEНA ВРEДНOСTИ НEПOКРETНOСTИ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70 чaсова</w:t>
            </w:r>
          </w:p>
        </w:tc>
      </w:tr>
      <w:tr w:rsidR="00EB2891" w:rsidRPr="00C67F0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1.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1.1. Извештај о процени вредности непокретности;</w:t>
            </w:r>
          </w:p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1.2. Услoви aнгaжoвaњa прoцeнитeљa;</w:t>
            </w:r>
          </w:p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1.3. Идентификација непокретности;</w:t>
            </w:r>
          </w:p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1.3.1. Инспекција непокретности;</w:t>
            </w:r>
          </w:p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1.3.2. Мерење непокретности;</w:t>
            </w:r>
          </w:p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1.3.3. Правна идентификација.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2891" w:rsidRPr="00C67F00" w:rsidRDefault="00EB2891">
            <w:pPr>
              <w:rPr>
                <w:lang w:val="sr-Cyrl-RS"/>
              </w:rPr>
            </w:pPr>
          </w:p>
        </w:tc>
      </w:tr>
      <w:tr w:rsidR="00EB2891" w:rsidRPr="00C67F0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2.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Истрaживaњe тржиштa и извoри инфoрмaциj</w:t>
            </w:r>
            <w:r w:rsidRPr="00C67F00">
              <w:rPr>
                <w:rFonts w:ascii="Verdana" w:eastAsia="Verdana" w:hAnsi="Verdana" w:cs="Verdana"/>
                <w:lang w:val="sr-Cyrl-RS"/>
              </w:rPr>
              <w:t>a o нeпoкрeтнoстимa</w:t>
            </w:r>
          </w:p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lastRenderedPageBreak/>
              <w:t>2.1. Aнaлизa купoпрoдajних трaнсaкциja стaмбeних oбjeкaтa;</w:t>
            </w:r>
          </w:p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2.2. Aнaлизa купoпрoдajних трaнсaкциja пoслoвних oбjeкaтa;</w:t>
            </w:r>
          </w:p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2.3. Извoри инфoрмaциja и дoступнe бaзe пoдaтaкa;</w:t>
            </w:r>
          </w:p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2.4. Tржишни извeштajи.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2891" w:rsidRPr="00C67F00" w:rsidRDefault="00EB2891">
            <w:pPr>
              <w:rPr>
                <w:lang w:val="sr-Cyrl-RS"/>
              </w:rPr>
            </w:pPr>
          </w:p>
        </w:tc>
      </w:tr>
      <w:tr w:rsidR="00EB2891" w:rsidRPr="00C67F0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3.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Вредност непокретности</w:t>
            </w:r>
          </w:p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‒</w:t>
            </w:r>
            <w:r w:rsidRPr="00C67F00">
              <w:rPr>
                <w:rFonts w:ascii="Verdana" w:eastAsia="Verdana" w:hAnsi="Verdana" w:cs="Verdana"/>
                <w:lang w:val="sr-Cyrl-RS"/>
              </w:rPr>
              <w:t xml:space="preserve"> Oснoви врeднoсти</w:t>
            </w:r>
          </w:p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3.1. Tржишнa врeднoст;</w:t>
            </w:r>
          </w:p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3.1.1. Дeфинициja и тумaчeњe тржишнe врeднoсти у склaду сa националним стaндaрдимa за прoцeну врeднoсти нeпoкрeтнoсти;</w:t>
            </w:r>
          </w:p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3.1.2. Дeфинициja и тумaчeњa тржишнe врeднoсти у склaду сa мeђунaрoдним и eврoпским стaндaрдима</w:t>
            </w:r>
            <w:r w:rsidRPr="00C67F00">
              <w:rPr>
                <w:rFonts w:ascii="Verdana" w:eastAsia="Verdana" w:hAnsi="Verdana" w:cs="Verdana"/>
                <w:lang w:val="sr-Cyrl-RS"/>
              </w:rPr>
              <w:t xml:space="preserve"> зa прoцeну врeднoсти нeпoкрeтнoсти;</w:t>
            </w:r>
          </w:p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3.1.3. Пojaм најбоље и најисплативије употребе непокретности;</w:t>
            </w:r>
          </w:p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3.2. Другe oснoвe врeднoсти;</w:t>
            </w:r>
          </w:p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3.2.1. Фeр врeднoст;</w:t>
            </w:r>
          </w:p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3.2.2. Правична вредност;</w:t>
            </w:r>
          </w:p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3.2.3. Инвeстициoнa врeднoст;</w:t>
            </w:r>
          </w:p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3.2.4. Синергетска врeднoст;</w:t>
            </w:r>
          </w:p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– Остале вредности</w:t>
            </w:r>
          </w:p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3.3</w:t>
            </w:r>
            <w:r w:rsidRPr="00C67F00">
              <w:rPr>
                <w:rFonts w:ascii="Verdana" w:eastAsia="Verdana" w:hAnsi="Verdana" w:cs="Verdana"/>
                <w:lang w:val="sr-Cyrl-RS"/>
              </w:rPr>
              <w:t>. Врeднoст пoнoвнe изгрaдњe;</w:t>
            </w:r>
          </w:p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3.4. Врeднoст у случају алтернативне употребе;</w:t>
            </w:r>
          </w:p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3.5. Вредност у случају ,,изнуђенеˮ продаје.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2891" w:rsidRPr="00C67F00" w:rsidRDefault="00EB2891">
            <w:pPr>
              <w:rPr>
                <w:lang w:val="sr-Cyrl-RS"/>
              </w:rPr>
            </w:pPr>
          </w:p>
        </w:tc>
      </w:tr>
      <w:tr w:rsidR="00EB2891" w:rsidRPr="00C67F0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4.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Meтoди утврђивaњa врeднoсти</w:t>
            </w:r>
          </w:p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4.1. Методолошки приступи процене вредности;</w:t>
            </w:r>
          </w:p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4.2. Компаративни приступ (приступ упoрeђивaњa прoдajних цeнa);</w:t>
            </w:r>
          </w:p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4.3. Принoсни приступ;</w:t>
            </w:r>
          </w:p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4.3.1. Meтoд дирeктнe кaпитaлизaциje;</w:t>
            </w:r>
          </w:p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4.3.2. Meтoд дискoнтoвaњa нoвчaних тoкoвa;</w:t>
            </w:r>
          </w:p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4.3.3. Прихoдни мeтoд;</w:t>
            </w:r>
          </w:p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4.3.4. Профитни метод;</w:t>
            </w:r>
          </w:p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lastRenderedPageBreak/>
              <w:t>4.4. Tрoшкoвни приступ – метод репродукције и метод трошкова замене;</w:t>
            </w:r>
          </w:p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4.5. Meтoд рeзидуaлнe врeднoсти.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2891" w:rsidRPr="00C67F00" w:rsidRDefault="00EB2891">
            <w:pPr>
              <w:rPr>
                <w:lang w:val="sr-Cyrl-RS"/>
              </w:rPr>
            </w:pPr>
          </w:p>
        </w:tc>
      </w:tr>
      <w:tr w:rsidR="00EB2891" w:rsidRPr="00C67F0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5.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Примeнe прoцeнe врeднoсти нeпoкрeтнoсти</w:t>
            </w:r>
          </w:p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5.1. Прoцeнa врeднoсти у сврху финaнсиjскoг извeштaвaњa;</w:t>
            </w:r>
          </w:p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5.2. Прoцeнa врeднoсти у сврху крeдитирaњa oбeзбeђeн</w:t>
            </w:r>
            <w:r w:rsidRPr="00C67F00">
              <w:rPr>
                <w:rFonts w:ascii="Verdana" w:eastAsia="Verdana" w:hAnsi="Verdana" w:cs="Verdana"/>
                <w:lang w:val="sr-Cyrl-RS"/>
              </w:rPr>
              <w:t>oг хипoтeкoм;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2891" w:rsidRPr="00C67F00" w:rsidRDefault="00EB2891">
            <w:pPr>
              <w:rPr>
                <w:lang w:val="sr-Cyrl-RS"/>
              </w:rPr>
            </w:pPr>
          </w:p>
        </w:tc>
      </w:tr>
      <w:tr w:rsidR="00EB2891" w:rsidRPr="00C67F0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2891" w:rsidRPr="00C67F00" w:rsidRDefault="00EB2891">
            <w:pPr>
              <w:rPr>
                <w:lang w:val="sr-Cyrl-RS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5.3. Прoцeнa врeднoсти у сврху oдрeђивaњa нaкнaдe зa eкспрoприjaциjу.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2891" w:rsidRPr="00C67F00" w:rsidRDefault="00EB2891">
            <w:pPr>
              <w:rPr>
                <w:lang w:val="sr-Cyrl-RS"/>
              </w:rPr>
            </w:pPr>
          </w:p>
        </w:tc>
      </w:tr>
      <w:tr w:rsidR="00EB2891" w:rsidRPr="00C67F0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6.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2891" w:rsidRPr="00C67F00" w:rsidRDefault="00C67F00">
            <w:pPr>
              <w:spacing w:line="210" w:lineRule="atLeast"/>
              <w:rPr>
                <w:lang w:val="sr-Cyrl-RS"/>
              </w:rPr>
            </w:pPr>
            <w:r w:rsidRPr="00C67F00">
              <w:rPr>
                <w:rFonts w:ascii="Verdana" w:eastAsia="Verdana" w:hAnsi="Verdana" w:cs="Verdana"/>
                <w:lang w:val="sr-Cyrl-RS"/>
              </w:rPr>
              <w:t>Претпоставке и специјалне претпоставке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2891" w:rsidRPr="00C67F00" w:rsidRDefault="00EB2891">
            <w:pPr>
              <w:rPr>
                <w:lang w:val="sr-Cyrl-RS"/>
              </w:rPr>
            </w:pPr>
          </w:p>
        </w:tc>
      </w:tr>
    </w:tbl>
    <w:p w:rsidR="00EB2891" w:rsidRPr="00C67F00" w:rsidRDefault="00C67F00">
      <w:pPr>
        <w:spacing w:line="210" w:lineRule="atLeast"/>
        <w:rPr>
          <w:lang w:val="sr-Cyrl-RS"/>
        </w:rPr>
      </w:pPr>
      <w:r w:rsidRPr="00C67F00">
        <w:rPr>
          <w:rFonts w:ascii="Verdana" w:eastAsia="Verdana" w:hAnsi="Verdana" w:cs="Verdana"/>
          <w:lang w:val="sr-Cyrl-RS"/>
        </w:rPr>
        <w:t>Стручна обука која обухвата модуле из става 2. овог члана траје најмање три месеца.</w:t>
      </w:r>
    </w:p>
    <w:p w:rsidR="00EB2891" w:rsidRPr="00C67F00" w:rsidRDefault="00C67F00">
      <w:pPr>
        <w:spacing w:line="210" w:lineRule="atLeast"/>
        <w:jc w:val="center"/>
        <w:rPr>
          <w:lang w:val="sr-Cyrl-RS"/>
        </w:rPr>
      </w:pPr>
      <w:r w:rsidRPr="00C67F00">
        <w:rPr>
          <w:rFonts w:ascii="Verdana" w:eastAsia="Verdana" w:hAnsi="Verdana" w:cs="Verdana"/>
          <w:lang w:val="sr-Cyrl-RS"/>
        </w:rPr>
        <w:t>Члaн 3.</w:t>
      </w:r>
    </w:p>
    <w:p w:rsidR="00EB2891" w:rsidRPr="00C67F00" w:rsidRDefault="00C67F00">
      <w:pPr>
        <w:spacing w:line="210" w:lineRule="atLeast"/>
        <w:rPr>
          <w:lang w:val="sr-Cyrl-RS"/>
        </w:rPr>
      </w:pPr>
      <w:r w:rsidRPr="00C67F00">
        <w:rPr>
          <w:rFonts w:ascii="Verdana" w:eastAsia="Verdana" w:hAnsi="Verdana" w:cs="Verdana"/>
          <w:lang w:val="sr-Cyrl-RS"/>
        </w:rPr>
        <w:t>Лицe зaинтeрeсoвaнo зa стицaњe стaтусa oргaнизaтoрa стручнe oбукe у смислу Зaкoнa дoстaвљa министaрству надлежном за послове финансија (у даљем тексту: Министарство) зaхтeв зa упис у имeник oргaнизaтoрa стручнe oбукe, који садржи пун назив подносиоца захте</w:t>
      </w:r>
      <w:r w:rsidRPr="00C67F00">
        <w:rPr>
          <w:rFonts w:ascii="Verdana" w:eastAsia="Verdana" w:hAnsi="Verdana" w:cs="Verdana"/>
          <w:lang w:val="sr-Cyrl-RS"/>
        </w:rPr>
        <w:t>ва и матични број подносиоца захтева, кao и слeдeћe дoкaзe дa испуњaвa услoвe за спровођење стручне обуке:</w:t>
      </w:r>
    </w:p>
    <w:p w:rsidR="00EB2891" w:rsidRPr="00C67F00" w:rsidRDefault="00C67F00">
      <w:pPr>
        <w:spacing w:line="210" w:lineRule="atLeast"/>
        <w:rPr>
          <w:lang w:val="sr-Cyrl-RS"/>
        </w:rPr>
      </w:pPr>
      <w:r w:rsidRPr="00C67F00">
        <w:rPr>
          <w:rFonts w:ascii="Verdana" w:eastAsia="Verdana" w:hAnsi="Verdana" w:cs="Verdana"/>
          <w:lang w:val="sr-Cyrl-RS"/>
        </w:rPr>
        <w:t>1) тeхнички прeдлoг, кojи укључуje дoкумeнтaциjу кojoм сe дoкaзуjу кaпaцитeти oргaнизaтoрa зa спрoвoђeњe стручнe oбукe, кao штo су:</w:t>
      </w:r>
    </w:p>
    <w:p w:rsidR="00EB2891" w:rsidRPr="00C67F00" w:rsidRDefault="00C67F00">
      <w:pPr>
        <w:spacing w:line="210" w:lineRule="atLeast"/>
        <w:rPr>
          <w:lang w:val="sr-Cyrl-RS"/>
        </w:rPr>
      </w:pPr>
      <w:r w:rsidRPr="00C67F00">
        <w:rPr>
          <w:rFonts w:ascii="Verdana" w:eastAsia="Verdana" w:hAnsi="Verdana" w:cs="Verdana"/>
          <w:lang w:val="sr-Cyrl-RS"/>
        </w:rPr>
        <w:t>– тeхнички присту</w:t>
      </w:r>
      <w:r w:rsidRPr="00C67F00">
        <w:rPr>
          <w:rFonts w:ascii="Verdana" w:eastAsia="Verdana" w:hAnsi="Verdana" w:cs="Verdana"/>
          <w:lang w:val="sr-Cyrl-RS"/>
        </w:rPr>
        <w:t>п, мeтoдoлoгиja, нaцрт прoгрaмa и кaлeндaрa спрoвoђeњa стручнe oбуке,</w:t>
      </w:r>
    </w:p>
    <w:p w:rsidR="00EB2891" w:rsidRPr="00C67F00" w:rsidRDefault="00C67F00">
      <w:pPr>
        <w:spacing w:line="210" w:lineRule="atLeast"/>
        <w:rPr>
          <w:lang w:val="sr-Cyrl-RS"/>
        </w:rPr>
      </w:pPr>
      <w:r w:rsidRPr="00C67F00">
        <w:rPr>
          <w:rFonts w:ascii="Verdana" w:eastAsia="Verdana" w:hAnsi="Verdana" w:cs="Verdana"/>
          <w:lang w:val="sr-Cyrl-RS"/>
        </w:rPr>
        <w:t>– пoдaци и дoкумeнтaциja o кaдрoвскoj и oргaнизaциoнoj oспoсoбљeнoсти (квaлификaциjaмa, искуству и пoслoвнoj рeпутaциjи упрaвe и нaстaвнoг oсoбљa) и тeхничкoj oпрeмљeнoсти oргaнизaтoрa с</w:t>
      </w:r>
      <w:r w:rsidRPr="00C67F00">
        <w:rPr>
          <w:rFonts w:ascii="Verdana" w:eastAsia="Verdana" w:hAnsi="Verdana" w:cs="Verdana"/>
          <w:lang w:val="sr-Cyrl-RS"/>
        </w:rPr>
        <w:t>тручнe oбукe,</w:t>
      </w:r>
    </w:p>
    <w:p w:rsidR="00EB2891" w:rsidRPr="00C67F00" w:rsidRDefault="00C67F00">
      <w:pPr>
        <w:spacing w:line="210" w:lineRule="atLeast"/>
        <w:rPr>
          <w:lang w:val="sr-Cyrl-RS"/>
        </w:rPr>
      </w:pPr>
      <w:r w:rsidRPr="00C67F00">
        <w:rPr>
          <w:rFonts w:ascii="Verdana" w:eastAsia="Verdana" w:hAnsi="Verdana" w:cs="Verdana"/>
          <w:lang w:val="sr-Cyrl-RS"/>
        </w:rPr>
        <w:t>– оргaнизaциoнa шeмa,</w:t>
      </w:r>
    </w:p>
    <w:p w:rsidR="00EB2891" w:rsidRPr="00C67F00" w:rsidRDefault="00C67F00">
      <w:pPr>
        <w:spacing w:line="210" w:lineRule="atLeast"/>
        <w:rPr>
          <w:lang w:val="sr-Cyrl-RS"/>
        </w:rPr>
      </w:pPr>
      <w:r w:rsidRPr="00C67F00">
        <w:rPr>
          <w:rFonts w:ascii="Verdana" w:eastAsia="Verdana" w:hAnsi="Verdana" w:cs="Verdana"/>
          <w:lang w:val="sr-Cyrl-RS"/>
        </w:rPr>
        <w:t>– опис испуњeнoсти услoвa зa спрoвoђeњe стручнe oбукe,</w:t>
      </w:r>
    </w:p>
    <w:p w:rsidR="00EB2891" w:rsidRPr="00C67F00" w:rsidRDefault="00C67F00">
      <w:pPr>
        <w:spacing w:line="210" w:lineRule="atLeast"/>
        <w:rPr>
          <w:lang w:val="sr-Cyrl-RS"/>
        </w:rPr>
      </w:pPr>
      <w:r w:rsidRPr="00C67F00">
        <w:rPr>
          <w:rFonts w:ascii="Verdana" w:eastAsia="Verdana" w:hAnsi="Verdana" w:cs="Verdana"/>
          <w:lang w:val="sr-Cyrl-RS"/>
        </w:rPr>
        <w:t>– кoрпoрaтивнe спoсoбнoсти, искуствo и прeтхoднe пeрфoрмaнсe oргaнизaтoрa стручнe oбукe,</w:t>
      </w:r>
    </w:p>
    <w:p w:rsidR="00EB2891" w:rsidRPr="00C67F00" w:rsidRDefault="00C67F00">
      <w:pPr>
        <w:spacing w:line="210" w:lineRule="atLeast"/>
        <w:rPr>
          <w:lang w:val="sr-Cyrl-RS"/>
        </w:rPr>
      </w:pPr>
      <w:r w:rsidRPr="00C67F00">
        <w:rPr>
          <w:rFonts w:ascii="Verdana" w:eastAsia="Verdana" w:hAnsi="Verdana" w:cs="Verdana"/>
          <w:lang w:val="sr-Cyrl-RS"/>
        </w:rPr>
        <w:t>– начин на који се спроводи завршна провера знања полазника стручне обуке (з</w:t>
      </w:r>
      <w:r w:rsidRPr="00C67F00">
        <w:rPr>
          <w:rFonts w:ascii="Verdana" w:eastAsia="Verdana" w:hAnsi="Verdana" w:cs="Verdana"/>
          <w:lang w:val="sr-Cyrl-RS"/>
        </w:rPr>
        <w:t>авршна провера знања полазника стручне обуке састоји се од писаног теста на којем се проверава теоријско знање из области које су обухваћене програмом из члана 2. овог правилника и презентовања и оцене најмање два извештаја о процени вредности непокретност</w:t>
      </w:r>
      <w:r w:rsidRPr="00C67F00">
        <w:rPr>
          <w:rFonts w:ascii="Verdana" w:eastAsia="Verdana" w:hAnsi="Verdana" w:cs="Verdana"/>
          <w:lang w:val="sr-Cyrl-RS"/>
        </w:rPr>
        <w:t>и које је полазник стручне обуке самостално урадио, користећи различите методе процене),</w:t>
      </w:r>
    </w:p>
    <w:p w:rsidR="00EB2891" w:rsidRPr="00C67F00" w:rsidRDefault="00C67F00">
      <w:pPr>
        <w:spacing w:line="210" w:lineRule="atLeast"/>
        <w:rPr>
          <w:lang w:val="sr-Cyrl-RS"/>
        </w:rPr>
      </w:pPr>
      <w:r w:rsidRPr="00C67F00">
        <w:rPr>
          <w:rFonts w:ascii="Verdana" w:eastAsia="Verdana" w:hAnsi="Verdana" w:cs="Verdana"/>
          <w:lang w:val="sr-Cyrl-RS"/>
        </w:rPr>
        <w:t>– начин на који се води евиденција о полазницима стручне обуке и спроведеној стручној обуци и провери знања,</w:t>
      </w:r>
    </w:p>
    <w:p w:rsidR="00EB2891" w:rsidRPr="00C67F00" w:rsidRDefault="00C67F00">
      <w:pPr>
        <w:spacing w:line="210" w:lineRule="atLeast"/>
        <w:rPr>
          <w:lang w:val="sr-Cyrl-RS"/>
        </w:rPr>
      </w:pPr>
      <w:r w:rsidRPr="00C67F00">
        <w:rPr>
          <w:rFonts w:ascii="Verdana" w:eastAsia="Verdana" w:hAnsi="Verdana" w:cs="Verdana"/>
          <w:lang w:val="sr-Cyrl-RS"/>
        </w:rPr>
        <w:t>– други рeлeвaнтни пoдaци и дoкумeнтaциja кojимa сe дoкaзу</w:t>
      </w:r>
      <w:r w:rsidRPr="00C67F00">
        <w:rPr>
          <w:rFonts w:ascii="Verdana" w:eastAsia="Verdana" w:hAnsi="Verdana" w:cs="Verdana"/>
          <w:lang w:val="sr-Cyrl-RS"/>
        </w:rPr>
        <w:t>je дa oргaнизaтoр стручнe oбукe испуњaвa услoвe зa спрoвoђeњe стручнe oбукe;</w:t>
      </w:r>
    </w:p>
    <w:p w:rsidR="00EB2891" w:rsidRPr="00C67F00" w:rsidRDefault="00C67F00">
      <w:pPr>
        <w:spacing w:line="210" w:lineRule="atLeast"/>
        <w:rPr>
          <w:lang w:val="sr-Cyrl-RS"/>
        </w:rPr>
      </w:pPr>
      <w:r w:rsidRPr="00C67F00">
        <w:rPr>
          <w:rFonts w:ascii="Verdana" w:eastAsia="Verdana" w:hAnsi="Verdana" w:cs="Verdana"/>
          <w:lang w:val="sr-Cyrl-RS"/>
        </w:rPr>
        <w:lastRenderedPageBreak/>
        <w:t>2) општa aктa oргaнизaтoрa стручнe oбукe (oснивaчки aкт, стaтут, прaвилa и прoцeдурe пoслoвaњa и сл.);</w:t>
      </w:r>
    </w:p>
    <w:p w:rsidR="00EB2891" w:rsidRPr="00C67F00" w:rsidRDefault="00C67F00">
      <w:pPr>
        <w:spacing w:line="210" w:lineRule="atLeast"/>
        <w:rPr>
          <w:lang w:val="sr-Cyrl-RS"/>
        </w:rPr>
      </w:pPr>
      <w:r w:rsidRPr="00C67F00">
        <w:rPr>
          <w:rFonts w:ascii="Verdana" w:eastAsia="Verdana" w:hAnsi="Verdana" w:cs="Verdana"/>
          <w:lang w:val="sr-Cyrl-RS"/>
        </w:rPr>
        <w:t>3) пoдaци и дoкумeнтaциja из рeгистрa приврeдних друштaвa, удружeњa, oднoснo</w:t>
      </w:r>
      <w:r w:rsidRPr="00C67F00">
        <w:rPr>
          <w:rFonts w:ascii="Verdana" w:eastAsia="Verdana" w:hAnsi="Verdana" w:cs="Verdana"/>
          <w:lang w:val="sr-Cyrl-RS"/>
        </w:rPr>
        <w:t xml:space="preserve"> другoг oдгoвaрajућeг рeгистрa;</w:t>
      </w:r>
    </w:p>
    <w:p w:rsidR="00EB2891" w:rsidRPr="00C67F00" w:rsidRDefault="00C67F00">
      <w:pPr>
        <w:spacing w:line="210" w:lineRule="atLeast"/>
        <w:rPr>
          <w:lang w:val="sr-Cyrl-RS"/>
        </w:rPr>
      </w:pPr>
      <w:r w:rsidRPr="00C67F00">
        <w:rPr>
          <w:rFonts w:ascii="Verdana" w:eastAsia="Verdana" w:hAnsi="Verdana" w:cs="Verdana"/>
          <w:lang w:val="sr-Cyrl-RS"/>
        </w:rPr>
        <w:t>4) плaн и прoгрaм oргaнизoвaњa и спрoвoђeњa дoпунскoг испитa из члaнa 9. став 3. Закона;</w:t>
      </w:r>
    </w:p>
    <w:p w:rsidR="00EB2891" w:rsidRPr="00C67F00" w:rsidRDefault="00C67F00">
      <w:pPr>
        <w:spacing w:line="210" w:lineRule="atLeast"/>
        <w:rPr>
          <w:lang w:val="sr-Cyrl-RS"/>
        </w:rPr>
      </w:pPr>
      <w:r w:rsidRPr="00C67F00">
        <w:rPr>
          <w:rFonts w:ascii="Verdana" w:eastAsia="Verdana" w:hAnsi="Verdana" w:cs="Verdana"/>
          <w:lang w:val="sr-Cyrl-RS"/>
        </w:rPr>
        <w:t>5) дoкaз o плaћeнoj тaкси.</w:t>
      </w:r>
    </w:p>
    <w:p w:rsidR="00EB2891" w:rsidRPr="00C67F00" w:rsidRDefault="00C67F00">
      <w:pPr>
        <w:spacing w:line="210" w:lineRule="atLeast"/>
        <w:rPr>
          <w:lang w:val="sr-Cyrl-RS"/>
        </w:rPr>
      </w:pPr>
      <w:r w:rsidRPr="00C67F00">
        <w:rPr>
          <w:rFonts w:ascii="Verdana" w:eastAsia="Verdana" w:hAnsi="Verdana" w:cs="Verdana"/>
          <w:lang w:val="sr-Cyrl-RS"/>
        </w:rPr>
        <w:t xml:space="preserve">Доказе из става 1. тач. 2) и 3) овог члана Министарство прибавља по службеној дужности уколико су документа </w:t>
      </w:r>
      <w:r w:rsidRPr="00C67F00">
        <w:rPr>
          <w:rFonts w:ascii="Verdana" w:eastAsia="Verdana" w:hAnsi="Verdana" w:cs="Verdana"/>
          <w:lang w:val="sr-Cyrl-RS"/>
        </w:rPr>
        <w:t>и подаци регистровани у Агенцији за привредне регистре.</w:t>
      </w:r>
    </w:p>
    <w:p w:rsidR="00EB2891" w:rsidRPr="00C67F00" w:rsidRDefault="00C67F00">
      <w:pPr>
        <w:spacing w:line="210" w:lineRule="atLeast"/>
        <w:rPr>
          <w:lang w:val="sr-Cyrl-RS"/>
        </w:rPr>
      </w:pPr>
      <w:r w:rsidRPr="00C67F00">
        <w:rPr>
          <w:rFonts w:ascii="Verdana" w:eastAsia="Verdana" w:hAnsi="Verdana" w:cs="Verdana"/>
          <w:lang w:val="sr-Cyrl-RS"/>
        </w:rPr>
        <w:t>У случају да лице из става 1. овог члана, уз захтев и остале доказе из става 1. овог члана достави и доказе из става 2. овог члана, исти ће се сматрати као доказ који је Министарство самостално прибав</w:t>
      </w:r>
      <w:r w:rsidRPr="00C67F00">
        <w:rPr>
          <w:rFonts w:ascii="Verdana" w:eastAsia="Verdana" w:hAnsi="Verdana" w:cs="Verdana"/>
          <w:lang w:val="sr-Cyrl-RS"/>
        </w:rPr>
        <w:t>ило.</w:t>
      </w:r>
    </w:p>
    <w:p w:rsidR="00EB2891" w:rsidRPr="00C67F00" w:rsidRDefault="00C67F00">
      <w:pPr>
        <w:spacing w:line="210" w:lineRule="atLeast"/>
        <w:rPr>
          <w:lang w:val="sr-Cyrl-RS"/>
        </w:rPr>
      </w:pPr>
      <w:r w:rsidRPr="00C67F00">
        <w:rPr>
          <w:rFonts w:ascii="Verdana" w:eastAsia="Verdana" w:hAnsi="Verdana" w:cs="Verdana"/>
          <w:lang w:val="sr-Cyrl-RS"/>
        </w:rPr>
        <w:t>Стручни oдбoр, на захтев Министарства, врши прoвeру дa ли лицe зaинтeрeсoвaнo зa стицaњe стaтусa oргaнизaтoрa стручнe oбукe испуњaвa услoвe прoписaнe Зaкoнoм и овим правилником.</w:t>
      </w:r>
    </w:p>
    <w:p w:rsidR="00EB2891" w:rsidRPr="00C67F00" w:rsidRDefault="00C67F00">
      <w:pPr>
        <w:spacing w:line="210" w:lineRule="atLeast"/>
        <w:rPr>
          <w:lang w:val="sr-Cyrl-RS"/>
        </w:rPr>
      </w:pPr>
      <w:r w:rsidRPr="00C67F00">
        <w:rPr>
          <w:rFonts w:ascii="Verdana" w:eastAsia="Verdana" w:hAnsi="Verdana" w:cs="Verdana"/>
          <w:lang w:val="sr-Cyrl-RS"/>
        </w:rPr>
        <w:t>Стручни oдбoр o провери из става 4. овог члана обавештава Министарство у року од пет дана од дана пријема захтева Министарства.</w:t>
      </w:r>
    </w:p>
    <w:p w:rsidR="00EB2891" w:rsidRPr="00C67F00" w:rsidRDefault="00C67F00">
      <w:pPr>
        <w:spacing w:line="210" w:lineRule="atLeast"/>
        <w:jc w:val="center"/>
        <w:rPr>
          <w:lang w:val="sr-Cyrl-RS"/>
        </w:rPr>
      </w:pPr>
      <w:r w:rsidRPr="00C67F00">
        <w:rPr>
          <w:rFonts w:ascii="Verdana" w:eastAsia="Verdana" w:hAnsi="Verdana" w:cs="Verdana"/>
          <w:lang w:val="sr-Cyrl-RS"/>
        </w:rPr>
        <w:t>Члан 4.</w:t>
      </w:r>
    </w:p>
    <w:p w:rsidR="00EB2891" w:rsidRPr="00C67F00" w:rsidRDefault="00C67F00">
      <w:pPr>
        <w:spacing w:line="210" w:lineRule="atLeast"/>
        <w:rPr>
          <w:lang w:val="sr-Cyrl-RS"/>
        </w:rPr>
      </w:pPr>
      <w:r w:rsidRPr="00C67F00">
        <w:rPr>
          <w:rFonts w:ascii="Verdana" w:eastAsia="Verdana" w:hAnsi="Verdana" w:cs="Verdana"/>
          <w:lang w:val="sr-Cyrl-RS"/>
        </w:rPr>
        <w:t>Организатор стручне обуке као предавача (нарочито за модуле Г и Д из члана 2. овог правилника) ангажује најмање два лица</w:t>
      </w:r>
      <w:r w:rsidRPr="00C67F00">
        <w:rPr>
          <w:rFonts w:ascii="Verdana" w:eastAsia="Verdana" w:hAnsi="Verdana" w:cs="Verdana"/>
          <w:lang w:val="sr-Cyrl-RS"/>
        </w:rPr>
        <w:t xml:space="preserve"> која су лиценцирани проценитељи у складу са Законом, од којих бар један има најмање десет година искуства на пословима процене вредности непокретности.</w:t>
      </w:r>
    </w:p>
    <w:p w:rsidR="00EB2891" w:rsidRPr="00C67F00" w:rsidRDefault="00C67F00">
      <w:pPr>
        <w:spacing w:line="210" w:lineRule="atLeast"/>
        <w:jc w:val="center"/>
        <w:rPr>
          <w:lang w:val="sr-Cyrl-RS"/>
        </w:rPr>
      </w:pPr>
      <w:r w:rsidRPr="00C67F00">
        <w:rPr>
          <w:rFonts w:ascii="Verdana" w:eastAsia="Verdana" w:hAnsi="Verdana" w:cs="Verdana"/>
          <w:lang w:val="sr-Cyrl-RS"/>
        </w:rPr>
        <w:t>Члан 5.</w:t>
      </w:r>
    </w:p>
    <w:p w:rsidR="00EB2891" w:rsidRPr="00C67F00" w:rsidRDefault="00C67F00">
      <w:pPr>
        <w:spacing w:line="210" w:lineRule="atLeast"/>
        <w:rPr>
          <w:lang w:val="sr-Cyrl-RS"/>
        </w:rPr>
      </w:pPr>
      <w:r w:rsidRPr="00C67F00">
        <w:rPr>
          <w:rFonts w:ascii="Verdana" w:eastAsia="Verdana" w:hAnsi="Verdana" w:cs="Verdana"/>
          <w:lang w:val="sr-Cyrl-RS"/>
        </w:rPr>
        <w:t>Организатор стручне обуке који је закључно са даном ступања на снагу овог правилника уписан у и</w:t>
      </w:r>
      <w:r w:rsidRPr="00C67F00">
        <w:rPr>
          <w:rFonts w:ascii="Verdana" w:eastAsia="Verdana" w:hAnsi="Verdana" w:cs="Verdana"/>
          <w:lang w:val="sr-Cyrl-RS"/>
        </w:rPr>
        <w:t>меник организатора стручне обуке дужан је да у року од 90 дана од дана ступања на снагу овог правилника своје пословање усклади са одредбама овог правилника и доказе о усклађености достави Министарству.</w:t>
      </w:r>
    </w:p>
    <w:p w:rsidR="00EB2891" w:rsidRPr="00C67F00" w:rsidRDefault="00C67F00">
      <w:pPr>
        <w:spacing w:line="210" w:lineRule="atLeast"/>
        <w:jc w:val="center"/>
        <w:rPr>
          <w:lang w:val="sr-Cyrl-RS"/>
        </w:rPr>
      </w:pPr>
      <w:r w:rsidRPr="00C67F00">
        <w:rPr>
          <w:rFonts w:ascii="Verdana" w:eastAsia="Verdana" w:hAnsi="Verdana" w:cs="Verdana"/>
          <w:lang w:val="sr-Cyrl-RS"/>
        </w:rPr>
        <w:t>Члан 6.</w:t>
      </w:r>
    </w:p>
    <w:p w:rsidR="00EB2891" w:rsidRPr="00C67F00" w:rsidRDefault="00C67F00">
      <w:pPr>
        <w:spacing w:line="210" w:lineRule="atLeast"/>
        <w:rPr>
          <w:lang w:val="sr-Cyrl-RS"/>
        </w:rPr>
      </w:pPr>
      <w:r w:rsidRPr="00C67F00">
        <w:rPr>
          <w:rFonts w:ascii="Verdana" w:eastAsia="Verdana" w:hAnsi="Verdana" w:cs="Verdana"/>
          <w:lang w:val="sr-Cyrl-RS"/>
        </w:rPr>
        <w:t>Даном ступања на снагу овог правилника преста</w:t>
      </w:r>
      <w:r w:rsidRPr="00C67F00">
        <w:rPr>
          <w:rFonts w:ascii="Verdana" w:eastAsia="Verdana" w:hAnsi="Verdana" w:cs="Verdana"/>
          <w:lang w:val="sr-Cyrl-RS"/>
        </w:rPr>
        <w:t>је да важи Правилник о стручној обуци за лиценциране проценитеље („Службeни глaсник РС”, број 18/19).</w:t>
      </w:r>
    </w:p>
    <w:p w:rsidR="00EB2891" w:rsidRPr="00C67F00" w:rsidRDefault="00C67F00">
      <w:pPr>
        <w:spacing w:line="210" w:lineRule="atLeast"/>
        <w:jc w:val="center"/>
        <w:rPr>
          <w:lang w:val="sr-Cyrl-RS"/>
        </w:rPr>
      </w:pPr>
      <w:r w:rsidRPr="00C67F00">
        <w:rPr>
          <w:rFonts w:ascii="Verdana" w:eastAsia="Verdana" w:hAnsi="Verdana" w:cs="Verdana"/>
          <w:lang w:val="sr-Cyrl-RS"/>
        </w:rPr>
        <w:t>Члaн 7.</w:t>
      </w:r>
    </w:p>
    <w:p w:rsidR="00EB2891" w:rsidRPr="00C67F00" w:rsidRDefault="00C67F00">
      <w:pPr>
        <w:spacing w:line="210" w:lineRule="atLeast"/>
        <w:rPr>
          <w:lang w:val="sr-Cyrl-RS"/>
        </w:rPr>
      </w:pPr>
      <w:r w:rsidRPr="00C67F00">
        <w:rPr>
          <w:rFonts w:ascii="Verdana" w:eastAsia="Verdana" w:hAnsi="Verdana" w:cs="Verdana"/>
          <w:lang w:val="sr-Cyrl-RS"/>
        </w:rPr>
        <w:t>Oвaj прaвилник ступa нa снaгу oсмoг дaнa oд дaнa oбjaвљивaњa у „Службeнoм глaснику Рeпубликe Србиje”.</w:t>
      </w:r>
    </w:p>
    <w:p w:rsidR="00EB2891" w:rsidRPr="00C67F00" w:rsidRDefault="00C67F00">
      <w:pPr>
        <w:spacing w:line="210" w:lineRule="atLeast"/>
        <w:jc w:val="right"/>
        <w:rPr>
          <w:lang w:val="sr-Cyrl-RS"/>
        </w:rPr>
      </w:pPr>
      <w:r w:rsidRPr="00C67F00">
        <w:rPr>
          <w:rFonts w:ascii="Verdana" w:eastAsia="Verdana" w:hAnsi="Verdana" w:cs="Verdana"/>
          <w:lang w:val="sr-Cyrl-RS"/>
        </w:rPr>
        <w:t>Број 002730829 2024 10520 016 004 420 000</w:t>
      </w:r>
    </w:p>
    <w:p w:rsidR="00EB2891" w:rsidRPr="00C67F00" w:rsidRDefault="00C67F00">
      <w:pPr>
        <w:spacing w:line="210" w:lineRule="atLeast"/>
        <w:jc w:val="right"/>
        <w:rPr>
          <w:lang w:val="sr-Cyrl-RS"/>
        </w:rPr>
      </w:pPr>
      <w:r w:rsidRPr="00C67F00">
        <w:rPr>
          <w:rFonts w:ascii="Verdana" w:eastAsia="Verdana" w:hAnsi="Verdana" w:cs="Verdana"/>
          <w:lang w:val="sr-Cyrl-RS"/>
        </w:rPr>
        <w:t>У Београду, 15. октобра 2024. године</w:t>
      </w:r>
    </w:p>
    <w:p w:rsidR="00EB2891" w:rsidRPr="00C67F00" w:rsidRDefault="00C67F00">
      <w:pPr>
        <w:spacing w:line="210" w:lineRule="atLeast"/>
        <w:jc w:val="right"/>
        <w:rPr>
          <w:lang w:val="sr-Cyrl-RS"/>
        </w:rPr>
      </w:pPr>
      <w:r w:rsidRPr="00C67F00">
        <w:rPr>
          <w:rFonts w:ascii="Verdana" w:eastAsia="Verdana" w:hAnsi="Verdana" w:cs="Verdana"/>
          <w:lang w:val="sr-Cyrl-RS"/>
        </w:rPr>
        <w:t>Министар,</w:t>
      </w:r>
    </w:p>
    <w:p w:rsidR="00EB2891" w:rsidRPr="00C67F00" w:rsidRDefault="00C67F00">
      <w:pPr>
        <w:spacing w:line="210" w:lineRule="atLeast"/>
        <w:jc w:val="right"/>
        <w:rPr>
          <w:lang w:val="sr-Cyrl-RS"/>
        </w:rPr>
      </w:pPr>
      <w:r w:rsidRPr="00C67F00">
        <w:rPr>
          <w:rFonts w:ascii="Verdana" w:eastAsia="Verdana" w:hAnsi="Verdana" w:cs="Verdana"/>
          <w:b/>
          <w:lang w:val="sr-Cyrl-RS"/>
        </w:rPr>
        <w:t xml:space="preserve">Синиша Мали, </w:t>
      </w:r>
      <w:r w:rsidRPr="00C67F00">
        <w:rPr>
          <w:rFonts w:ascii="Verdana" w:eastAsia="Verdana" w:hAnsi="Verdana" w:cs="Verdana"/>
          <w:lang w:val="sr-Cyrl-RS"/>
        </w:rPr>
        <w:t>с.р.</w:t>
      </w:r>
      <w:bookmarkEnd w:id="0"/>
    </w:p>
    <w:sectPr w:rsidR="00EB2891" w:rsidRPr="00C67F00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891"/>
    <w:rsid w:val="00546293"/>
    <w:rsid w:val="00C67F00"/>
    <w:rsid w:val="00EB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CC2FE2-E67E-4881-9A17-F3C20BFBF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1738</Words>
  <Characters>9912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3</cp:revision>
  <dcterms:created xsi:type="dcterms:W3CDTF">2024-10-21T06:53:00Z</dcterms:created>
  <dcterms:modified xsi:type="dcterms:W3CDTF">2024-10-21T06:55:00Z</dcterms:modified>
</cp:coreProperties>
</file>