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49" w:rsidRDefault="002A28A2">
      <w:pPr>
        <w:spacing w:line="210" w:lineRule="atLeast"/>
      </w:pPr>
      <w:bookmarkStart w:id="0" w:name="_GoBack"/>
      <w:bookmarkEnd w:id="0"/>
      <w:r>
        <w:rPr>
          <w:rFonts w:ascii="Verdana" w:eastAsia="Verdana" w:hAnsi="Verdana" w:cs="Verdana"/>
        </w:rPr>
        <w:br/>
      </w:r>
    </w:p>
    <w:p w:rsidR="00455149" w:rsidRDefault="002A28A2">
      <w:pPr>
        <w:spacing w:line="210" w:lineRule="atLeast"/>
      </w:pPr>
      <w:r>
        <w:rPr>
          <w:rFonts w:ascii="Verdana" w:eastAsia="Verdana" w:hAnsi="Verdana" w:cs="Verdana"/>
        </w:rPr>
        <w:t>На основу члана 83. став 4. Закона о играма на срећу („Службени гласник РС”, број 18/20),</w:t>
      </w:r>
    </w:p>
    <w:p w:rsidR="00455149" w:rsidRDefault="002A28A2">
      <w:pPr>
        <w:spacing w:line="210" w:lineRule="atLeast"/>
      </w:pPr>
      <w:r>
        <w:rPr>
          <w:rFonts w:ascii="Verdana" w:eastAsia="Verdana" w:hAnsi="Verdana" w:cs="Verdana"/>
        </w:rPr>
        <w:t>Министар финансија доноси</w:t>
      </w:r>
    </w:p>
    <w:p w:rsidR="00455149" w:rsidRDefault="002A28A2">
      <w:pPr>
        <w:spacing w:line="210" w:lineRule="atLeast"/>
        <w:jc w:val="center"/>
      </w:pPr>
      <w:r>
        <w:rPr>
          <w:rFonts w:ascii="Verdana" w:eastAsia="Verdana" w:hAnsi="Verdana" w:cs="Verdana"/>
          <w:b/>
        </w:rPr>
        <w:t>ПРАВИЛНИК</w:t>
      </w:r>
    </w:p>
    <w:p w:rsidR="00455149" w:rsidRDefault="002A28A2">
      <w:pPr>
        <w:spacing w:line="210" w:lineRule="atLeast"/>
        <w:jc w:val="center"/>
      </w:pPr>
      <w:r>
        <w:rPr>
          <w:rFonts w:ascii="Verdana" w:eastAsia="Verdana" w:hAnsi="Verdana" w:cs="Verdana"/>
          <w:b/>
        </w:rPr>
        <w:t>о начину утврђивања испуњености услова за добијање одобрења за приређивање посебних игара на срећу – клађење</w:t>
      </w:r>
    </w:p>
    <w:p w:rsidR="00455149" w:rsidRDefault="002A28A2">
      <w:pPr>
        <w:spacing w:line="210" w:lineRule="atLeast"/>
        <w:jc w:val="center"/>
      </w:pPr>
      <w:r>
        <w:rPr>
          <w:rFonts w:ascii="Verdana" w:eastAsia="Verdana" w:hAnsi="Verdana" w:cs="Verdana"/>
        </w:rPr>
        <w:t>"Службени гласник РС", бр. 152 од 18. децембра 2020, 31 од 11. априла 2025.</w:t>
      </w:r>
    </w:p>
    <w:p w:rsidR="00455149" w:rsidRDefault="002A28A2">
      <w:pPr>
        <w:spacing w:line="210" w:lineRule="atLeast"/>
        <w:jc w:val="center"/>
      </w:pPr>
      <w:r>
        <w:rPr>
          <w:rFonts w:ascii="Verdana" w:eastAsia="Verdana" w:hAnsi="Verdana" w:cs="Verdana"/>
        </w:rPr>
        <w:t>Члан 1.</w:t>
      </w:r>
    </w:p>
    <w:p w:rsidR="00455149" w:rsidRDefault="002A28A2">
      <w:pPr>
        <w:spacing w:line="210" w:lineRule="atLeast"/>
      </w:pPr>
      <w:r>
        <w:rPr>
          <w:rFonts w:ascii="Verdana" w:eastAsia="Verdana" w:hAnsi="Verdana" w:cs="Verdana"/>
        </w:rPr>
        <w:t>Овим правилником ближе се у</w:t>
      </w:r>
      <w:r>
        <w:rPr>
          <w:rFonts w:ascii="Verdana" w:eastAsia="Verdana" w:hAnsi="Verdana" w:cs="Verdana"/>
        </w:rPr>
        <w:t>ређује начин утврђивања испуњености услова за добијање одобрења за приређивање посебних игара на срећу – клађење.</w:t>
      </w:r>
    </w:p>
    <w:p w:rsidR="00455149" w:rsidRDefault="002A28A2">
      <w:pPr>
        <w:spacing w:line="210" w:lineRule="atLeast"/>
        <w:jc w:val="center"/>
      </w:pPr>
      <w:r>
        <w:rPr>
          <w:rFonts w:ascii="Verdana" w:eastAsia="Verdana" w:hAnsi="Verdana" w:cs="Verdana"/>
        </w:rPr>
        <w:t>Члан 2.</w:t>
      </w:r>
    </w:p>
    <w:p w:rsidR="00455149" w:rsidRDefault="002A28A2">
      <w:pPr>
        <w:spacing w:line="210" w:lineRule="atLeast"/>
      </w:pPr>
      <w:r>
        <w:rPr>
          <w:rFonts w:ascii="Verdana" w:eastAsia="Verdana" w:hAnsi="Verdana" w:cs="Verdana"/>
        </w:rPr>
        <w:t xml:space="preserve">Утврђивање испуњености услова за добијање одобрења за приређивање посебних игара на срећу – клађење, Управа за игре на срећу (у даљем </w:t>
      </w:r>
      <w:r>
        <w:rPr>
          <w:rFonts w:ascii="Verdana" w:eastAsia="Verdana" w:hAnsi="Verdana" w:cs="Verdana"/>
        </w:rPr>
        <w:t>тексту: Управа) обавља у управном поступку, који се води по захтеву правног лица (у даљем тексту: подносилац захтева) за добијање одобрења за приређивање посебних игара на срећу – клађење.</w:t>
      </w:r>
    </w:p>
    <w:p w:rsidR="00455149" w:rsidRDefault="002A28A2">
      <w:pPr>
        <w:spacing w:line="210" w:lineRule="atLeast"/>
      </w:pPr>
      <w:r>
        <w:rPr>
          <w:rFonts w:ascii="Verdana" w:eastAsia="Verdana" w:hAnsi="Verdana" w:cs="Verdana"/>
        </w:rPr>
        <w:t xml:space="preserve">Захтев из става 1. овог члана </w:t>
      </w:r>
      <w:r>
        <w:rPr>
          <w:rFonts w:ascii="Verdana" w:eastAsia="Verdana" w:hAnsi="Verdana" w:cs="Verdana"/>
          <w:b/>
        </w:rPr>
        <w:t>подноси се преко информационо-комуник</w:t>
      </w:r>
      <w:r>
        <w:rPr>
          <w:rFonts w:ascii="Verdana" w:eastAsia="Verdana" w:hAnsi="Verdana" w:cs="Verdana"/>
          <w:b/>
        </w:rPr>
        <w:t>ационог система Управе</w:t>
      </w:r>
      <w:r>
        <w:rPr>
          <w:rFonts w:ascii="Verdana" w:eastAsia="Verdana" w:hAnsi="Verdana" w:cs="Verdana"/>
          <w:b/>
          <w:vertAlign w:val="superscript"/>
        </w:rPr>
        <w:t xml:space="preserve">* </w:t>
      </w:r>
      <w:r>
        <w:rPr>
          <w:rFonts w:ascii="Verdana" w:eastAsia="Verdana" w:hAnsi="Verdana" w:cs="Verdana"/>
        </w:rPr>
        <w:t xml:space="preserve"> у електронском облику, са документацијом, која се према Закону о играма на срећу („Службени гласник РС”, </w:t>
      </w:r>
      <w:r>
        <w:rPr>
          <w:rFonts w:ascii="Verdana" w:eastAsia="Verdana" w:hAnsi="Verdana" w:cs="Verdana"/>
          <w:b/>
        </w:rPr>
        <w:t>бр. 18/20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подноси уз захтев.</w:t>
      </w:r>
    </w:p>
    <w:p w:rsidR="00455149" w:rsidRDefault="002A28A2">
      <w:pPr>
        <w:spacing w:line="210" w:lineRule="atLeast"/>
      </w:pPr>
      <w:r>
        <w:rPr>
          <w:rFonts w:ascii="Verdana" w:eastAsia="Verdana" w:hAnsi="Verdana" w:cs="Verdana"/>
        </w:rPr>
        <w:t>Управа по службеној дужности прибавља податке из службених еви</w:t>
      </w:r>
      <w:r>
        <w:rPr>
          <w:rFonts w:ascii="Verdana" w:eastAsia="Verdana" w:hAnsi="Verdana" w:cs="Verdana"/>
        </w:rPr>
        <w:t>денција, изузев ако подносилац захтева изричито изјави да ће те податке прибавити сам.</w:t>
      </w:r>
    </w:p>
    <w:p w:rsidR="00455149" w:rsidRDefault="002A28A2">
      <w:pPr>
        <w:spacing w:line="210" w:lineRule="atLeast"/>
      </w:pPr>
      <w:r>
        <w:rPr>
          <w:rFonts w:ascii="Verdana" w:eastAsia="Verdana" w:hAnsi="Verdana" w:cs="Verdana"/>
        </w:rPr>
        <w:t>Уколико је подносилац захтева ималац података из документације, исти се достављају у оригиналу или овереноj копији.</w:t>
      </w:r>
    </w:p>
    <w:p w:rsidR="00455149" w:rsidRDefault="002A28A2">
      <w:pPr>
        <w:spacing w:line="210" w:lineRule="atLeast"/>
      </w:pPr>
      <w:r>
        <w:rPr>
          <w:rFonts w:ascii="Verdana" w:eastAsia="Verdana" w:hAnsi="Verdana" w:cs="Verdana"/>
        </w:rPr>
        <w:t>*Службени гласник РС, број 31/2025</w:t>
      </w:r>
    </w:p>
    <w:p w:rsidR="00455149" w:rsidRDefault="002A28A2">
      <w:pPr>
        <w:spacing w:line="210" w:lineRule="atLeast"/>
        <w:jc w:val="center"/>
      </w:pPr>
      <w:r>
        <w:rPr>
          <w:rFonts w:ascii="Verdana" w:eastAsia="Verdana" w:hAnsi="Verdana" w:cs="Verdana"/>
        </w:rPr>
        <w:t>Члан 3.</w:t>
      </w:r>
    </w:p>
    <w:p w:rsidR="00455149" w:rsidRDefault="002A28A2">
      <w:pPr>
        <w:spacing w:line="210" w:lineRule="atLeast"/>
      </w:pPr>
      <w:r>
        <w:rPr>
          <w:rFonts w:ascii="Verdana" w:eastAsia="Verdana" w:hAnsi="Verdana" w:cs="Verdana"/>
        </w:rPr>
        <w:t>Испуњеност</w:t>
      </w:r>
      <w:r>
        <w:rPr>
          <w:rFonts w:ascii="Verdana" w:eastAsia="Verdana" w:hAnsi="Verdana" w:cs="Verdana"/>
        </w:rPr>
        <w:t xml:space="preserve"> услова из члана 83. став 1. тачка 1) Закона у погледу висине основног капитала Управа утврђује на основу података регистрованих код Агенције за привредне регистре.</w:t>
      </w:r>
    </w:p>
    <w:p w:rsidR="00455149" w:rsidRDefault="002A28A2">
      <w:pPr>
        <w:spacing w:line="210" w:lineRule="atLeast"/>
        <w:jc w:val="center"/>
      </w:pPr>
      <w:r>
        <w:rPr>
          <w:rFonts w:ascii="Verdana" w:eastAsia="Verdana" w:hAnsi="Verdana" w:cs="Verdana"/>
        </w:rPr>
        <w:t>Члан 4.</w:t>
      </w:r>
    </w:p>
    <w:p w:rsidR="00455149" w:rsidRDefault="002A28A2">
      <w:pPr>
        <w:spacing w:line="210" w:lineRule="atLeast"/>
      </w:pPr>
      <w:r>
        <w:rPr>
          <w:rFonts w:ascii="Verdana" w:eastAsia="Verdana" w:hAnsi="Verdana" w:cs="Verdana"/>
        </w:rPr>
        <w:t>Испуњеност услова из члана 83. став 1. тачка 2) Закона у погледу доказа о власничко</w:t>
      </w:r>
      <w:r>
        <w:rPr>
          <w:rFonts w:ascii="Verdana" w:eastAsia="Verdana" w:hAnsi="Verdana" w:cs="Verdana"/>
        </w:rPr>
        <w:t>ј структури до стварног власника, Управа утврђује на основу података регистрованих у складу са прописима о Централној евиденцији стварних власника.</w:t>
      </w:r>
    </w:p>
    <w:p w:rsidR="00455149" w:rsidRDefault="002A28A2">
      <w:pPr>
        <w:spacing w:line="210" w:lineRule="atLeast"/>
        <w:jc w:val="center"/>
      </w:pPr>
      <w:r>
        <w:rPr>
          <w:rFonts w:ascii="Verdana" w:eastAsia="Verdana" w:hAnsi="Verdana" w:cs="Verdana"/>
        </w:rPr>
        <w:t>Члан 5.</w:t>
      </w:r>
    </w:p>
    <w:p w:rsidR="00455149" w:rsidRDefault="002A28A2">
      <w:pPr>
        <w:spacing w:line="210" w:lineRule="atLeast"/>
      </w:pPr>
      <w:r>
        <w:rPr>
          <w:rFonts w:ascii="Verdana" w:eastAsia="Verdana" w:hAnsi="Verdana" w:cs="Verdana"/>
        </w:rPr>
        <w:lastRenderedPageBreak/>
        <w:t>Испуњеност услова из члана 83. став 1. тачка 3) Закона у погледу доказа – оснивачког акта правног ли</w:t>
      </w:r>
      <w:r>
        <w:rPr>
          <w:rFonts w:ascii="Verdana" w:eastAsia="Verdana" w:hAnsi="Verdana" w:cs="Verdana"/>
        </w:rPr>
        <w:t>ца, Управа утврђује на основу података регистрованих код Агенције за привредне регистре.</w:t>
      </w:r>
    </w:p>
    <w:p w:rsidR="00455149" w:rsidRDefault="002A28A2">
      <w:pPr>
        <w:spacing w:line="210" w:lineRule="atLeast"/>
        <w:jc w:val="center"/>
      </w:pPr>
      <w:r>
        <w:rPr>
          <w:rFonts w:ascii="Verdana" w:eastAsia="Verdana" w:hAnsi="Verdana" w:cs="Verdana"/>
        </w:rPr>
        <w:t>Члан 6.</w:t>
      </w:r>
    </w:p>
    <w:p w:rsidR="00455149" w:rsidRDefault="002A28A2">
      <w:pPr>
        <w:spacing w:line="210" w:lineRule="atLeast"/>
      </w:pPr>
      <w:r>
        <w:rPr>
          <w:rFonts w:ascii="Verdana" w:eastAsia="Verdana" w:hAnsi="Verdana" w:cs="Verdana"/>
        </w:rPr>
        <w:t xml:space="preserve">Испуњеност услова из члана 83. став 1. тачка 4) Закона, Управа утврђује на основу података регистрованих код Агенције за привредне регистре у односу на биланс </w:t>
      </w:r>
      <w:r>
        <w:rPr>
          <w:rFonts w:ascii="Verdana" w:eastAsia="Verdana" w:hAnsi="Verdana" w:cs="Verdana"/>
        </w:rPr>
        <w:t>стања и биланс успеха за претходну годину, односно података у извештају о ревизији финансијских извештаја оснивача, односно члана правног лица (ако су исти предмет ревизије), за претходне две године које је сачинио овлашћени ревизор, у складу с прописима з</w:t>
      </w:r>
      <w:r>
        <w:rPr>
          <w:rFonts w:ascii="Verdana" w:eastAsia="Verdana" w:hAnsi="Verdana" w:cs="Verdana"/>
        </w:rPr>
        <w:t>емље порекла члана, односно оснивача, као и из његових финансијских извештаја за период од датума последњег извештаја о ревизији до краја полугодишта које непосредно претходи полугодишту у којем се захтев подноси.</w:t>
      </w:r>
    </w:p>
    <w:p w:rsidR="00455149" w:rsidRDefault="002A28A2">
      <w:pPr>
        <w:spacing w:line="210" w:lineRule="atLeast"/>
        <w:jc w:val="center"/>
      </w:pPr>
      <w:r>
        <w:rPr>
          <w:rFonts w:ascii="Verdana" w:eastAsia="Verdana" w:hAnsi="Verdana" w:cs="Verdana"/>
        </w:rPr>
        <w:t>Члан 7.</w:t>
      </w:r>
    </w:p>
    <w:p w:rsidR="00455149" w:rsidRDefault="002A28A2">
      <w:pPr>
        <w:spacing w:line="210" w:lineRule="atLeast"/>
      </w:pPr>
      <w:r>
        <w:rPr>
          <w:rFonts w:ascii="Verdana" w:eastAsia="Verdana" w:hAnsi="Verdana" w:cs="Verdana"/>
        </w:rPr>
        <w:t>Испуњеност услова из члана 83. ста</w:t>
      </w:r>
      <w:r>
        <w:rPr>
          <w:rFonts w:ascii="Verdana" w:eastAsia="Verdana" w:hAnsi="Verdana" w:cs="Verdana"/>
        </w:rPr>
        <w:t>в 1. тач. 5) и 6) Закона, Управа утврђује на основу података у исправама којима се доказује својина, односно право коришћења или закупа на просторијама у којима ће се приређивати посебне игре на срећу – клађење, са списком уплатно-исплатних места по кладио</w:t>
      </w:r>
      <w:r>
        <w:rPr>
          <w:rFonts w:ascii="Verdana" w:eastAsia="Verdana" w:hAnsi="Verdana" w:cs="Verdana"/>
        </w:rPr>
        <w:t>ници, с тим што број кладионица не може бити мањи од 30.</w:t>
      </w:r>
    </w:p>
    <w:p w:rsidR="00455149" w:rsidRDefault="002A28A2">
      <w:pPr>
        <w:spacing w:line="210" w:lineRule="atLeast"/>
        <w:jc w:val="center"/>
      </w:pPr>
      <w:r>
        <w:rPr>
          <w:rFonts w:ascii="Verdana" w:eastAsia="Verdana" w:hAnsi="Verdana" w:cs="Verdana"/>
        </w:rPr>
        <w:t>Члан 8.</w:t>
      </w:r>
    </w:p>
    <w:p w:rsidR="00455149" w:rsidRDefault="002A28A2">
      <w:pPr>
        <w:spacing w:line="210" w:lineRule="atLeast"/>
      </w:pPr>
      <w:r>
        <w:rPr>
          <w:rFonts w:ascii="Verdana" w:eastAsia="Verdana" w:hAnsi="Verdana" w:cs="Verdana"/>
        </w:rPr>
        <w:t>Испуњеност услова из члана 83. став 1. тачка 7) Закона, Управа утврђује на основу уверења о испуњености техничких и функционалних карактеристика информационо-комуникационог система, које приређивачу издаје лабораторија овлашћена од стране министра финансиј</w:t>
      </w:r>
      <w:r>
        <w:rPr>
          <w:rFonts w:ascii="Verdana" w:eastAsia="Verdana" w:hAnsi="Verdana" w:cs="Verdana"/>
        </w:rPr>
        <w:t>а и спецификације нумеричких бројева налепница за уплатно-исплатна места.</w:t>
      </w:r>
    </w:p>
    <w:p w:rsidR="00455149" w:rsidRDefault="002A28A2">
      <w:pPr>
        <w:spacing w:line="210" w:lineRule="atLeast"/>
        <w:jc w:val="center"/>
      </w:pPr>
      <w:r>
        <w:rPr>
          <w:rFonts w:ascii="Verdana" w:eastAsia="Verdana" w:hAnsi="Verdana" w:cs="Verdana"/>
          <w:b/>
        </w:rPr>
        <w:t>Члан 9.</w:t>
      </w:r>
      <w:r>
        <w:rPr>
          <w:rFonts w:ascii="Verdana" w:eastAsia="Verdana" w:hAnsi="Verdana" w:cs="Verdana"/>
          <w:b/>
          <w:vertAlign w:val="superscript"/>
        </w:rPr>
        <w:t xml:space="preserve">* </w:t>
      </w:r>
    </w:p>
    <w:p w:rsidR="00455149" w:rsidRDefault="002A28A2">
      <w:pPr>
        <w:spacing w:line="210" w:lineRule="atLeast"/>
      </w:pPr>
      <w:r>
        <w:rPr>
          <w:rFonts w:ascii="Verdana" w:eastAsia="Verdana" w:hAnsi="Verdana" w:cs="Verdana"/>
          <w:b/>
        </w:rPr>
        <w:t>Испуњеност услова из члана 83. став 1. тачка 8) Закона, Управа утврђује на основу података из уверења Републичког геодетског завода и елабората геодетских радова о најкраће</w:t>
      </w:r>
      <w:r>
        <w:rPr>
          <w:rFonts w:ascii="Verdana" w:eastAsia="Verdana" w:hAnsi="Verdana" w:cs="Verdana"/>
          <w:b/>
        </w:rPr>
        <w:t>м безбедном пешачком путу између најближе ивице зграде образовних установа и најближег улаза кладионице, као и о најкраћем безбедном пешачком путу од улаза до улаза између две кладионице, односно између најближег улаза кладионице и аутомат клуба или играчн</w:t>
      </w:r>
      <w:r>
        <w:rPr>
          <w:rFonts w:ascii="Verdana" w:eastAsia="Verdana" w:hAnsi="Verdana" w:cs="Verdana"/>
          <w:b/>
        </w:rPr>
        <w:t>ице и мишљења вештака саобраћајне струке о најкраћем безбедном пешачком путу.</w:t>
      </w:r>
      <w:r>
        <w:rPr>
          <w:rFonts w:ascii="Verdana" w:eastAsia="Verdana" w:hAnsi="Verdana" w:cs="Verdana"/>
          <w:b/>
          <w:vertAlign w:val="superscript"/>
        </w:rPr>
        <w:t xml:space="preserve">* </w:t>
      </w:r>
    </w:p>
    <w:p w:rsidR="00455149" w:rsidRDefault="002A28A2">
      <w:pPr>
        <w:spacing w:line="210" w:lineRule="atLeast"/>
      </w:pPr>
      <w:r>
        <w:rPr>
          <w:rFonts w:ascii="Verdana" w:eastAsia="Verdana" w:hAnsi="Verdana" w:cs="Verdana"/>
        </w:rPr>
        <w:t>*Службени гласник РС, број 31/2025</w:t>
      </w:r>
    </w:p>
    <w:p w:rsidR="00455149" w:rsidRDefault="002A28A2">
      <w:pPr>
        <w:spacing w:line="210" w:lineRule="atLeast"/>
        <w:jc w:val="center"/>
      </w:pPr>
      <w:r>
        <w:rPr>
          <w:rFonts w:ascii="Verdana" w:eastAsia="Verdana" w:hAnsi="Verdana" w:cs="Verdana"/>
        </w:rPr>
        <w:t>Члан 10.</w:t>
      </w:r>
    </w:p>
    <w:p w:rsidR="00455149" w:rsidRDefault="002A28A2">
      <w:pPr>
        <w:spacing w:line="210" w:lineRule="atLeast"/>
      </w:pPr>
      <w:r>
        <w:rPr>
          <w:rFonts w:ascii="Verdana" w:eastAsia="Verdana" w:hAnsi="Verdana" w:cs="Verdana"/>
        </w:rPr>
        <w:t xml:space="preserve">Испуњеност услова из члана 83. став 1. тачка 9) Закона, Управа утврђује на основу података из акта надлежног државног органа којим се потврђује да подносилац захтева, његов оснивач, односно власник, стварни власник, сарадник, именовано лице није осуђен на </w:t>
      </w:r>
      <w:r>
        <w:rPr>
          <w:rFonts w:ascii="Verdana" w:eastAsia="Verdana" w:hAnsi="Verdana" w:cs="Verdana"/>
        </w:rPr>
        <w:t>новчану казну, ако је правно лице, односно на казну затвора, ако је физичко лице, за кривично дело у Републици Србији или страној држави, односно да није теже повредило или поновило повреду прописа којим се уређује спречавање прања новца и финансирања теро</w:t>
      </w:r>
      <w:r>
        <w:rPr>
          <w:rFonts w:ascii="Verdana" w:eastAsia="Verdana" w:hAnsi="Verdana" w:cs="Verdana"/>
        </w:rPr>
        <w:t xml:space="preserve">ризма у периоду трајања изречене заштитне мере забране </w:t>
      </w:r>
      <w:r>
        <w:rPr>
          <w:rFonts w:ascii="Verdana" w:eastAsia="Verdana" w:hAnsi="Verdana" w:cs="Verdana"/>
        </w:rPr>
        <w:lastRenderedPageBreak/>
        <w:t>вршења одређених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w:t>
      </w:r>
      <w:r>
        <w:rPr>
          <w:rFonts w:ascii="Verdana" w:eastAsia="Verdana" w:hAnsi="Verdana" w:cs="Verdana"/>
        </w:rPr>
        <w:t>вљају претежну делатност привредног друштва за приређивање игара на срећу,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p w:rsidR="00455149" w:rsidRDefault="002A28A2">
      <w:pPr>
        <w:spacing w:line="210" w:lineRule="atLeast"/>
        <w:jc w:val="center"/>
      </w:pPr>
      <w:r>
        <w:rPr>
          <w:rFonts w:ascii="Verdana" w:eastAsia="Verdana" w:hAnsi="Verdana" w:cs="Verdana"/>
        </w:rPr>
        <w:t>Члан</w:t>
      </w:r>
      <w:r>
        <w:rPr>
          <w:rFonts w:ascii="Verdana" w:eastAsia="Verdana" w:hAnsi="Verdana" w:cs="Verdana"/>
        </w:rPr>
        <w:t xml:space="preserve"> 11.</w:t>
      </w:r>
    </w:p>
    <w:p w:rsidR="00455149" w:rsidRDefault="002A28A2">
      <w:pPr>
        <w:spacing w:line="210" w:lineRule="atLeast"/>
      </w:pPr>
      <w:r>
        <w:rPr>
          <w:rFonts w:ascii="Verdana" w:eastAsia="Verdana" w:hAnsi="Verdana" w:cs="Verdana"/>
        </w:rPr>
        <w:t>Испуњеност услова из члана 83. став 1. тачка 10) Закона, Управа утврђује на основу података из изјаве дате под материјалном и кривичном одговорношћу од стране подносиоца захтева, његовог оснивача, односно власника, стварног власника, сарадника, односн</w:t>
      </w:r>
      <w:r>
        <w:rPr>
          <w:rFonts w:ascii="Verdana" w:eastAsia="Verdana" w:hAnsi="Verdana" w:cs="Verdana"/>
        </w:rPr>
        <w:t>о именованог лица да нису осуђивани, као и да нису чланови организоване криминалне групе.</w:t>
      </w:r>
    </w:p>
    <w:p w:rsidR="00455149" w:rsidRDefault="002A28A2">
      <w:pPr>
        <w:spacing w:line="210" w:lineRule="atLeast"/>
        <w:jc w:val="center"/>
      </w:pPr>
      <w:r>
        <w:rPr>
          <w:rFonts w:ascii="Verdana" w:eastAsia="Verdana" w:hAnsi="Verdana" w:cs="Verdana"/>
        </w:rPr>
        <w:t>Члан 12.</w:t>
      </w:r>
    </w:p>
    <w:p w:rsidR="00455149" w:rsidRDefault="002A28A2">
      <w:pPr>
        <w:spacing w:line="210" w:lineRule="atLeast"/>
      </w:pPr>
      <w:r>
        <w:rPr>
          <w:rFonts w:ascii="Verdana" w:eastAsia="Verdana" w:hAnsi="Verdana" w:cs="Verdana"/>
        </w:rPr>
        <w:t>Испуњеност услова из члана 83. став 1. тачка 11) Закона у односу на садржину правила игре на срећу, Управа утврђује увидом у достављена правила игре, сагласн</w:t>
      </w:r>
      <w:r>
        <w:rPr>
          <w:rFonts w:ascii="Verdana" w:eastAsia="Verdana" w:hAnsi="Verdana" w:cs="Verdana"/>
        </w:rPr>
        <w:t>о Закону и правилнику којим се ближе уређују услови, односно садржина правила игара на срећу.</w:t>
      </w:r>
    </w:p>
    <w:p w:rsidR="00455149" w:rsidRDefault="002A28A2">
      <w:pPr>
        <w:spacing w:line="210" w:lineRule="atLeast"/>
        <w:jc w:val="center"/>
      </w:pPr>
      <w:r>
        <w:rPr>
          <w:rFonts w:ascii="Verdana" w:eastAsia="Verdana" w:hAnsi="Verdana" w:cs="Verdana"/>
        </w:rPr>
        <w:t>Члан 13.</w:t>
      </w:r>
    </w:p>
    <w:p w:rsidR="00455149" w:rsidRDefault="002A28A2">
      <w:pPr>
        <w:spacing w:line="210" w:lineRule="atLeast"/>
      </w:pPr>
      <w:r>
        <w:rPr>
          <w:rFonts w:ascii="Verdana" w:eastAsia="Verdana" w:hAnsi="Verdana" w:cs="Verdana"/>
        </w:rPr>
        <w:t>Даном ступања на снагу овог правилника престаје да важи Правилник о начину утврђивања испуњености услова за добијање одобрења за приређивање игара на сре</w:t>
      </w:r>
      <w:r>
        <w:rPr>
          <w:rFonts w:ascii="Verdana" w:eastAsia="Verdana" w:hAnsi="Verdana" w:cs="Verdana"/>
        </w:rPr>
        <w:t>ћу – клађење („Службени гласник РС”, бр. 129/04, 89/09 и 16/11).</w:t>
      </w:r>
    </w:p>
    <w:p w:rsidR="00455149" w:rsidRDefault="002A28A2">
      <w:pPr>
        <w:spacing w:line="210" w:lineRule="atLeast"/>
        <w:jc w:val="center"/>
      </w:pPr>
      <w:r>
        <w:rPr>
          <w:rFonts w:ascii="Verdana" w:eastAsia="Verdana" w:hAnsi="Verdana" w:cs="Verdana"/>
        </w:rPr>
        <w:t>Члан 14.</w:t>
      </w:r>
    </w:p>
    <w:p w:rsidR="00455149" w:rsidRDefault="002A28A2">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Републике Србије”.</w:t>
      </w:r>
    </w:p>
    <w:p w:rsidR="00455149" w:rsidRDefault="002A28A2">
      <w:pPr>
        <w:spacing w:line="210" w:lineRule="atLeast"/>
        <w:jc w:val="right"/>
      </w:pPr>
      <w:r>
        <w:rPr>
          <w:rFonts w:ascii="Verdana" w:eastAsia="Verdana" w:hAnsi="Verdana" w:cs="Verdana"/>
        </w:rPr>
        <w:t>Број 110-00-00474/2020-01</w:t>
      </w:r>
    </w:p>
    <w:p w:rsidR="00455149" w:rsidRDefault="002A28A2">
      <w:pPr>
        <w:spacing w:line="210" w:lineRule="atLeast"/>
        <w:jc w:val="right"/>
      </w:pPr>
      <w:r>
        <w:rPr>
          <w:rFonts w:ascii="Verdana" w:eastAsia="Verdana" w:hAnsi="Verdana" w:cs="Verdana"/>
        </w:rPr>
        <w:t>У Београду, 11. децембра 2020. године</w:t>
      </w:r>
    </w:p>
    <w:p w:rsidR="00455149" w:rsidRDefault="002A28A2">
      <w:pPr>
        <w:spacing w:line="210" w:lineRule="atLeast"/>
        <w:jc w:val="right"/>
      </w:pPr>
      <w:r>
        <w:rPr>
          <w:rFonts w:ascii="Verdana" w:eastAsia="Verdana" w:hAnsi="Verdana" w:cs="Verdana"/>
        </w:rPr>
        <w:t>Министар,</w:t>
      </w:r>
    </w:p>
    <w:p w:rsidR="00455149" w:rsidRDefault="002A28A2">
      <w:pPr>
        <w:spacing w:line="210" w:lineRule="atLeast"/>
        <w:jc w:val="right"/>
      </w:pPr>
      <w:r>
        <w:rPr>
          <w:rFonts w:ascii="Verdana" w:eastAsia="Verdana" w:hAnsi="Verdana" w:cs="Verdana"/>
          <w:b/>
        </w:rPr>
        <w:t>Синиша</w:t>
      </w:r>
      <w:r>
        <w:rPr>
          <w:rFonts w:ascii="Verdana" w:eastAsia="Verdana" w:hAnsi="Verdana" w:cs="Verdana"/>
          <w:b/>
        </w:rPr>
        <w:t xml:space="preserve"> Мали, </w:t>
      </w:r>
      <w:r>
        <w:rPr>
          <w:rFonts w:ascii="Verdana" w:eastAsia="Verdana" w:hAnsi="Verdana" w:cs="Verdana"/>
        </w:rPr>
        <w:t>с.р.</w:t>
      </w:r>
    </w:p>
    <w:sectPr w:rsidR="0045514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49"/>
    <w:rsid w:val="002A28A2"/>
    <w:rsid w:val="0045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79844-ABDF-4F47-9B84-C46A7A80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2025-04-17T12:49:00Z</dcterms:created>
  <dcterms:modified xsi:type="dcterms:W3CDTF">2025-04-17T12:49:00Z</dcterms:modified>
</cp:coreProperties>
</file>