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2D" w:rsidRDefault="00C906CC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96. став 5. Закона о играма на срећу („Службени гласник РС”, број 18/20),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начину утврђивања услова за добијање одобрења за приређивање посебних игара на срећу преко средстава електронске комуникације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152 од 18. децембра 2020, 31 од 11. априла 2025.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Овим пра</w:t>
      </w:r>
      <w:r>
        <w:rPr>
          <w:rFonts w:ascii="Verdana" w:eastAsia="Verdana" w:hAnsi="Verdana" w:cs="Verdana"/>
        </w:rPr>
        <w:t>вилником ближе се уређује начин утврђивања испуњености услова за добијање одобрења за приређивање посебних игара на срећу преко средстава електронске комуникације.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 xml:space="preserve">Утврђивање испуњености услова за добијање одобрења за приређивање посебних игара на </w:t>
      </w:r>
      <w:r>
        <w:rPr>
          <w:rFonts w:ascii="Verdana" w:eastAsia="Verdana" w:hAnsi="Verdana" w:cs="Verdana"/>
        </w:rPr>
        <w:t>срећу преко средстава електронске комуникације, Управа за игре на срећу (у даљем тексту: Управа) обавља у управном поступку, који се води по захтеву правног лица (у даљем тексту: подносилац захтева) за добијање одобрења за приређивање посебних игара на сре</w:t>
      </w:r>
      <w:r>
        <w:rPr>
          <w:rFonts w:ascii="Verdana" w:eastAsia="Verdana" w:hAnsi="Verdana" w:cs="Verdana"/>
        </w:rPr>
        <w:t>ћу преко средстава електронске комуникације.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 xml:space="preserve">Захтев из става 1. овог члана </w:t>
      </w:r>
      <w:r>
        <w:rPr>
          <w:rFonts w:ascii="Verdana" w:eastAsia="Verdana" w:hAnsi="Verdana" w:cs="Verdana"/>
          <w:b/>
        </w:rPr>
        <w:t>подноси се преко информационо-комуникационог система Управе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у електронском облику, са документацијом, која се према Закону о играма на срећу („Службени гласник РС”, </w:t>
      </w:r>
      <w:r>
        <w:rPr>
          <w:rFonts w:ascii="Verdana" w:eastAsia="Verdana" w:hAnsi="Verdana" w:cs="Verdana"/>
          <w:b/>
        </w:rPr>
        <w:t>бр. 18/20 и 94</w:t>
      </w:r>
      <w:r>
        <w:rPr>
          <w:rFonts w:ascii="Verdana" w:eastAsia="Verdana" w:hAnsi="Verdana" w:cs="Verdana"/>
          <w:b/>
        </w:rPr>
        <w:t>/24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– у даљем тексту: Закон) подноси уз захтев.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Управа по службеној дужности прибавља податке из службених евиденција, изузев ако подносилац захтева изричито изјави да ће те податке прибавити сам.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Уколико је подносилац захтева ималац података из документ</w:t>
      </w:r>
      <w:r>
        <w:rPr>
          <w:rFonts w:ascii="Verdana" w:eastAsia="Verdana" w:hAnsi="Verdana" w:cs="Verdana"/>
        </w:rPr>
        <w:t>ације, исти се достављају у оригиналу или овереној копији.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31/2025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Подносилац захтева доставља Управи захтев за добијање одобрења за приређивање посебних игара на срећу преко средстава електронске комуникације, који у скл</w:t>
      </w:r>
      <w:r>
        <w:rPr>
          <w:rFonts w:ascii="Verdana" w:eastAsia="Verdana" w:hAnsi="Verdana" w:cs="Verdana"/>
        </w:rPr>
        <w:t>аду са чланом 96. став 1. Закона садржи следеће податке: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1) назив и седиште правног лица – подносиоца захтева;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2) начин идентификације и регистрације учесника у игри на срећу (у даљем тексту: играча);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3) поступак у случају прекинуте комуникације са играчем</w:t>
      </w:r>
      <w:r>
        <w:rPr>
          <w:rFonts w:ascii="Verdana" w:eastAsia="Verdana" w:hAnsi="Verdana" w:cs="Verdana"/>
        </w:rPr>
        <w:t>;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4) опис система за чување стања система (backup);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5) опис система за повратак у последње сачувано стање.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lastRenderedPageBreak/>
        <w:t>Податке наведене у ставу 1. тачка 1) овог члана Управа утврђује на основу података регистрованих код Агенције за привредне регистре.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Податке наведене</w:t>
      </w:r>
      <w:r>
        <w:rPr>
          <w:rFonts w:ascii="Verdana" w:eastAsia="Verdana" w:hAnsi="Verdana" w:cs="Verdana"/>
        </w:rPr>
        <w:t xml:space="preserve"> у ставу 1. тач. 2)−5) овог члана Управа утврђује на основу уверења о испуњености техничких и функционалних карактеристика информационо-комуникационог система, које приређивачу издаје лабораторија овлашћена од стране министра финансија.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 xml:space="preserve">У поступку </w:t>
      </w:r>
      <w:r>
        <w:rPr>
          <w:rFonts w:ascii="Verdana" w:eastAsia="Verdana" w:hAnsi="Verdana" w:cs="Verdana"/>
        </w:rPr>
        <w:t>утврђивања испуњености услова из члана 96. став 2. тачка 1) Закона, Управа проверава да ли елаборат о спречавању нежељеног утицаја игара на срећу преко средстава електронске комуникације на учеснике у играма на срећу, садржи следеће податке: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1) процедуру регистрације играча, јединственост налога и начин ажурирања личних података играча, који играчу морају бити доступни у сваком тренутку, а нарочито: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(1) начин регистрације играча и мере провере логичке исправности унетих података,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(2) мере обез</w:t>
      </w:r>
      <w:r>
        <w:rPr>
          <w:rFonts w:ascii="Verdana" w:eastAsia="Verdana" w:hAnsi="Verdana" w:cs="Verdana"/>
        </w:rPr>
        <w:t>беђења ажурности података о играчу током коришћења налога,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(3) мере онемогућавања отварања више налога за једног истог играча,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(4) опис процедуре и правила која играчу морају бити доступна у сваком тренутку;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2) база података, начин заштите података, односно заштите приватности играча, а нарочито: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(1) начин чувања и заштите података о бројевима рачуна и картица, односно спречавања могућности њихове злоупотребе,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(2) документованост, односно постојање доказа о св</w:t>
      </w:r>
      <w:r>
        <w:rPr>
          <w:rFonts w:ascii="Verdana" w:eastAsia="Verdana" w:hAnsi="Verdana" w:cs="Verdana"/>
        </w:rPr>
        <w:t>им уплатама и исплатама, односно о свим исправкама и неуспелим уплатама и исплатама у складу са законом и подзаконским актима;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3) начин заштите од неовлашћене употребе система, односно мере онемогућавања приступа систему особама које нису власници налога и</w:t>
      </w:r>
      <w:r>
        <w:rPr>
          <w:rFonts w:ascii="Verdana" w:eastAsia="Verdana" w:hAnsi="Verdana" w:cs="Verdana"/>
        </w:rPr>
        <w:t xml:space="preserve"> малолетним лицима;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4) мере предвиђене у складу са начелима одговорног приређивања, а нарочито: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(1) константан приказ тачног времена и датума,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(2) омогућавање играчу ограничења депозита на дневном, недељном и месечном нивоу</w:t>
      </w:r>
      <w:r>
        <w:rPr>
          <w:rFonts w:ascii="Verdana" w:eastAsia="Verdana" w:hAnsi="Verdana" w:cs="Verdana"/>
          <w:b/>
        </w:rPr>
        <w:t>, односно онемогућавање играчу пр</w:t>
      </w:r>
      <w:r>
        <w:rPr>
          <w:rFonts w:ascii="Verdana" w:eastAsia="Verdana" w:hAnsi="Verdana" w:cs="Verdana"/>
          <w:b/>
        </w:rPr>
        <w:t>иступ корисничком налогу у случају самоискључења, односно ограничења уплате у складу са захтевом играча у случају самоограничења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,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(3) константан приказ јасног упозорења забране учествовања у играма на срећу малолетним лицима,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 xml:space="preserve">(4) механизме онемогућавања </w:t>
      </w:r>
      <w:r>
        <w:rPr>
          <w:rFonts w:ascii="Verdana" w:eastAsia="Verdana" w:hAnsi="Verdana" w:cs="Verdana"/>
        </w:rPr>
        <w:t>приступа систему малолетним лицима, односно начин провере утврђивања старости играча и њихову примену у односу на бесплатне игре,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lastRenderedPageBreak/>
        <w:t>(5) обавезу исплате играчу у случају закључавања налога за игру, односно онемогућавање пријема реклама за игре на срећу, у пер</w:t>
      </w:r>
      <w:r>
        <w:rPr>
          <w:rFonts w:ascii="Verdana" w:eastAsia="Verdana" w:hAnsi="Verdana" w:cs="Verdana"/>
        </w:rPr>
        <w:t>иоду када је налог закључан,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(6) могућност закључавања налога по захтеву треће особе, односно разлоге, поступак и одређивање лица одговорног за пријем и решавање поднетог захтева;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5) доступност свих информација везаних за забрану учествовања у играма на ср</w:t>
      </w:r>
      <w:r>
        <w:rPr>
          <w:rFonts w:ascii="Verdana" w:eastAsia="Verdana" w:hAnsi="Verdana" w:cs="Verdana"/>
        </w:rPr>
        <w:t>ећу малолетним лицима, начела одговорног приређивања и заштите играча на језику на коме је и сајт, односно игре;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6) постојање странице о одговорном приређивању, која садржи везу ка документима (алати) који онемогућавају играње – програми за филтрирање, одн</w:t>
      </w:r>
      <w:r>
        <w:rPr>
          <w:rFonts w:ascii="Verdana" w:eastAsia="Verdana" w:hAnsi="Verdana" w:cs="Verdana"/>
        </w:rPr>
        <w:t>осно блокирање садржаја на интернету.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Податке садржане у елаборату Управа утврђује на основу уверења о испуњености техничких и функционалних карактеристика информационо-комуникационог система, које приређивачу издаје лабораторија овлашћена од стране минист</w:t>
      </w:r>
      <w:r>
        <w:rPr>
          <w:rFonts w:ascii="Verdana" w:eastAsia="Verdana" w:hAnsi="Verdana" w:cs="Verdana"/>
        </w:rPr>
        <w:t>ра финансија.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31/2025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Испуњеност услова из члана 96. став 2. тачка 2) Закона, у погледу доказа о праву својине или праву коришћења на одговарајућим просторијама у којима ће се налазити опрема за посебне игре на срећу прек</w:t>
      </w:r>
      <w:r>
        <w:rPr>
          <w:rFonts w:ascii="Verdana" w:eastAsia="Verdana" w:hAnsi="Verdana" w:cs="Verdana"/>
        </w:rPr>
        <w:t xml:space="preserve">о средстава електронске комуникације, Управа утврђује на основу података у исправама којима се доказује својина, односно право коришћења на тим просторијама </w:t>
      </w:r>
      <w:r>
        <w:rPr>
          <w:rFonts w:ascii="Verdana" w:eastAsia="Verdana" w:hAnsi="Verdana" w:cs="Verdana"/>
          <w:b/>
        </w:rPr>
        <w:t>које се налазе на територији Републике Србије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31/2025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Испуњен</w:t>
      </w:r>
      <w:r>
        <w:rPr>
          <w:rFonts w:ascii="Verdana" w:eastAsia="Verdana" w:hAnsi="Verdana" w:cs="Verdana"/>
        </w:rPr>
        <w:t>ост услова из члана 96. став 2. тачка 3) Закона, у погледу доказа из члана 95. Закона, Управа утврђује на основу уверења о испуњености техничких и функционалних карактеристика информационо-комуникационог система, које приређивачу издаје лабораторија овлашћ</w:t>
      </w:r>
      <w:r>
        <w:rPr>
          <w:rFonts w:ascii="Verdana" w:eastAsia="Verdana" w:hAnsi="Verdana" w:cs="Verdana"/>
        </w:rPr>
        <w:t>ена од стране министра финансија.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Испуњеност услова из члана 96. став 2. тачка 4) Закона, у односу на садржину правила игре на срећу, Управа утврђује увидом у достављена правила игре, сагласно Закону и правилнику којим се ближе уређују услови, одно</w:t>
      </w:r>
      <w:r>
        <w:rPr>
          <w:rFonts w:ascii="Verdana" w:eastAsia="Verdana" w:hAnsi="Verdana" w:cs="Verdana"/>
        </w:rPr>
        <w:t>сно садржина правила игара на срећу.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Испуњеност услова из члана 96. став 2. тачка 5) Закона, у погледу висине основног капитала Управа утврђује на основу података регистрованих код Агенције за привредне регистре.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lastRenderedPageBreak/>
        <w:t>Испуњеност услова из члана 96. став 2. тачка 6) Закона, у погледу доказа о власничкој структури до стварног власника, Управа утврђује на основу података регистрованих у складу са прописима о Централној евиденцији стварних власника.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Испуњеност усло</w:t>
      </w:r>
      <w:r>
        <w:rPr>
          <w:rFonts w:ascii="Verdana" w:eastAsia="Verdana" w:hAnsi="Verdana" w:cs="Verdana"/>
        </w:rPr>
        <w:t>ва из члана 96. став 2. тачка 7) Закона, у погледу доказа – оснивачког акта правног лица, Управа утврђује на основу података регистрованих код Агенције за привредне регистре Републике Србије.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Испуњеност услова из члана 96. став 2. тачка 8) Закона,</w:t>
      </w:r>
      <w:r>
        <w:rPr>
          <w:rFonts w:ascii="Verdana" w:eastAsia="Verdana" w:hAnsi="Verdana" w:cs="Verdana"/>
        </w:rPr>
        <w:t xml:space="preserve"> Управа утврђује на основу података регистрованих код Агенције за привредне регистре у односу на биланс стања и биланс успеха за претходну годину, односно података у извештају о ревизији финансијских извештаја оснивача, односно члана правног лица (ако су и</w:t>
      </w:r>
      <w:r>
        <w:rPr>
          <w:rFonts w:ascii="Verdana" w:eastAsia="Verdana" w:hAnsi="Verdana" w:cs="Verdana"/>
        </w:rPr>
        <w:t>сти предмет ревизије), за претходне две године које је сачинио овлашћени ревизор, у складу с прописима земље порекла члана односно оснивача, као и из његових финансијских извештаја за период од датума последњег извештаја о ревизији до краја полугодишта кој</w:t>
      </w:r>
      <w:r>
        <w:rPr>
          <w:rFonts w:ascii="Verdana" w:eastAsia="Verdana" w:hAnsi="Verdana" w:cs="Verdana"/>
        </w:rPr>
        <w:t>е непосредно претходи полугодишту у којем се захтев подноси.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Испуњеност услова из члана 96. став 2. тачка 9) Закона, Управа утврђује на основу података из акта надлежног државног органа којим се потврђује да подносилац захтева, његов оснивач, одно</w:t>
      </w:r>
      <w:r>
        <w:rPr>
          <w:rFonts w:ascii="Verdana" w:eastAsia="Verdana" w:hAnsi="Verdana" w:cs="Verdana"/>
        </w:rPr>
        <w:t>сно власник, стварни власник, сарадник, именовано лице није осуђен на новчану казну, ако је правно лице, односно на казну затвора, ако је физичко лице, за кривично дело у Републици Србији или страној држави, односно да није теже повредило или поновило повр</w:t>
      </w:r>
      <w:r>
        <w:rPr>
          <w:rFonts w:ascii="Verdana" w:eastAsia="Verdana" w:hAnsi="Verdana" w:cs="Verdana"/>
        </w:rPr>
        <w:t>еду прописа којим се уређује спречавање прања новца и финансирања тероризма у периоду трајања изречене заштитне мере забране вршења одређених делатности које представљају претежну делатност привредног друштва за приређивање игара на срећу или трајања зашти</w:t>
      </w:r>
      <w:r>
        <w:rPr>
          <w:rFonts w:ascii="Verdana" w:eastAsia="Verdana" w:hAnsi="Verdana" w:cs="Verdana"/>
        </w:rPr>
        <w:t>тне мере забране одговорном лицу да врши одређене послове који представљају претежну делатност привредног друштва за приређивање игара на срећу, односно у периоду трајања изречене заштитне мере забране одговорном лицу да врши одређене дужности код привредн</w:t>
      </w:r>
      <w:r>
        <w:rPr>
          <w:rFonts w:ascii="Verdana" w:eastAsia="Verdana" w:hAnsi="Verdana" w:cs="Verdana"/>
        </w:rPr>
        <w:t>ог друштва чија је претежна делатност приређивање игара на срећу.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Испуњеност услова из члана 96. став 2. тачка 10) Закона, Управа утврђује на основу података из изјаве дате под материјалном и кривичном одговорношћу од стране подносиоца захтева, ње</w:t>
      </w:r>
      <w:r>
        <w:rPr>
          <w:rFonts w:ascii="Verdana" w:eastAsia="Verdana" w:hAnsi="Verdana" w:cs="Verdana"/>
        </w:rPr>
        <w:t>говог оснивача, односно власника, стварног власника, сарадника, односно именованог лица да нису осуђивани, као и да нису чланови организоване криминалне групе.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важи Правилник о начину утврђивања у</w:t>
      </w:r>
      <w:r>
        <w:rPr>
          <w:rFonts w:ascii="Verdana" w:eastAsia="Verdana" w:hAnsi="Verdana" w:cs="Verdana"/>
        </w:rPr>
        <w:t>слова за добијање одобрења за приређивање игра на срећу преко средстава електронске комуникације („Службени гласник РСˮ, број 75/13).</w:t>
      </w:r>
    </w:p>
    <w:p w:rsidR="00EE3A2D" w:rsidRDefault="00C906CC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15.</w:t>
      </w:r>
    </w:p>
    <w:p w:rsidR="00EE3A2D" w:rsidRDefault="00C906CC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Србије”.</w:t>
      </w:r>
    </w:p>
    <w:p w:rsidR="00EE3A2D" w:rsidRDefault="00C906CC">
      <w:pPr>
        <w:spacing w:line="210" w:lineRule="atLeast"/>
        <w:jc w:val="right"/>
      </w:pPr>
      <w:r>
        <w:rPr>
          <w:rFonts w:ascii="Verdana" w:eastAsia="Verdana" w:hAnsi="Verdana" w:cs="Verdana"/>
        </w:rPr>
        <w:t>Број 110-00-00475/2020-01</w:t>
      </w:r>
    </w:p>
    <w:p w:rsidR="00EE3A2D" w:rsidRDefault="00C906CC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11. децембра 2020. године</w:t>
      </w:r>
    </w:p>
    <w:p w:rsidR="00EE3A2D" w:rsidRDefault="00C906CC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EE3A2D" w:rsidRDefault="00C906CC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Синиша Мали, </w:t>
      </w:r>
      <w:r>
        <w:rPr>
          <w:rFonts w:ascii="Verdana" w:eastAsia="Verdana" w:hAnsi="Verdana" w:cs="Verdana"/>
        </w:rPr>
        <w:t>с.р.</w:t>
      </w:r>
    </w:p>
    <w:sectPr w:rsidR="00EE3A2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2D"/>
    <w:rsid w:val="00C906CC"/>
    <w:rsid w:val="00E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ED1C9-9527-4D8D-A956-76E356DC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2025-04-17T12:53:00Z</dcterms:created>
  <dcterms:modified xsi:type="dcterms:W3CDTF">2025-04-17T12:53:00Z</dcterms:modified>
</cp:coreProperties>
</file>