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0D6" w:rsidRDefault="008A4DE6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</w:rPr>
        <w:t>На основу члана 109. став 2. Закона о играма на срећу („Службени гласник РС”, бр. 18/20 и 94/24) и члана 17. став 4. и члана 24. Закона о Влади („Службени гласник РС”, бр. 55/05, 71/05 – исправка, 101/07, 65/08, 16/11, 68/12 – УС, 72/12, 7/14 – УС, 44/14 и</w:t>
      </w:r>
      <w:r>
        <w:rPr>
          <w:rFonts w:ascii="Verdana" w:eastAsia="Verdana" w:hAnsi="Verdana" w:cs="Verdana"/>
        </w:rPr>
        <w:t xml:space="preserve"> 30/18 – др. закон),  </w:t>
      </w:r>
    </w:p>
    <w:p w:rsidR="004750D6" w:rsidRDefault="008A4DE6">
      <w:pPr>
        <w:spacing w:line="210" w:lineRule="atLeast"/>
      </w:pPr>
      <w:r>
        <w:rPr>
          <w:rFonts w:ascii="Verdana" w:eastAsia="Verdana" w:hAnsi="Verdana" w:cs="Verdana"/>
        </w:rPr>
        <w:t>Министар финансија доноси</w:t>
      </w:r>
    </w:p>
    <w:p w:rsidR="004750D6" w:rsidRDefault="008A4DE6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ПРАВИЛНИК </w:t>
      </w:r>
    </w:p>
    <w:p w:rsidR="004750D6" w:rsidRDefault="008A4DE6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о ближим условима, односно садржини правила игара на срећу </w:t>
      </w:r>
    </w:p>
    <w:p w:rsidR="004750D6" w:rsidRDefault="008A4DE6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1. </w:t>
      </w:r>
    </w:p>
    <w:p w:rsidR="004750D6" w:rsidRDefault="008A4DE6">
      <w:pPr>
        <w:spacing w:line="210" w:lineRule="atLeast"/>
      </w:pPr>
      <w:r>
        <w:rPr>
          <w:rFonts w:ascii="Verdana" w:eastAsia="Verdana" w:hAnsi="Verdana" w:cs="Verdana"/>
        </w:rPr>
        <w:t>Овим правилником прописују се ближи услови, односно садржина правила игара на срећу (у даљем тексту: правила игре).</w:t>
      </w:r>
    </w:p>
    <w:p w:rsidR="004750D6" w:rsidRDefault="008A4DE6">
      <w:pPr>
        <w:spacing w:line="210" w:lineRule="atLeast"/>
      </w:pPr>
      <w:r>
        <w:rPr>
          <w:rFonts w:ascii="Verdana" w:eastAsia="Verdana" w:hAnsi="Verdana" w:cs="Verdana"/>
        </w:rPr>
        <w:t>Правила ига</w:t>
      </w:r>
      <w:r>
        <w:rPr>
          <w:rFonts w:ascii="Verdana" w:eastAsia="Verdana" w:hAnsi="Verdana" w:cs="Verdana"/>
        </w:rPr>
        <w:t>ра представљају опште услове за закључење уговора по приступу између правног лица које ће приређивати игре на срећу и физичког лица учесника у играма на срећу (играча), која постају обавезујућа за све учеснике од тренутка примања улога у кладионици, односн</w:t>
      </w:r>
      <w:r>
        <w:rPr>
          <w:rFonts w:ascii="Verdana" w:eastAsia="Verdana" w:hAnsi="Verdana" w:cs="Verdana"/>
        </w:rPr>
        <w:t>о у аутомат клубу, регистрације играча у играчници или преко средстава електронске комуникације.</w:t>
      </w:r>
    </w:p>
    <w:p w:rsidR="004750D6" w:rsidRDefault="008A4DE6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:rsidR="004750D6" w:rsidRDefault="008A4DE6">
      <w:pPr>
        <w:spacing w:line="210" w:lineRule="atLeast"/>
      </w:pPr>
      <w:r>
        <w:rPr>
          <w:rFonts w:ascii="Verdana" w:eastAsia="Verdana" w:hAnsi="Verdana" w:cs="Verdana"/>
        </w:rPr>
        <w:t>За сваку врсту игре на срећу надлежни орган правног лица, који подноси захтев за приређивање игре на срећу, подноси и захтев за добијање сагласности на</w:t>
      </w:r>
      <w:r>
        <w:rPr>
          <w:rFonts w:ascii="Verdana" w:eastAsia="Verdana" w:hAnsi="Verdana" w:cs="Verdana"/>
        </w:rPr>
        <w:t xml:space="preserve"> правила игре на основу одлуке о приређивању игара на срећу, потписане од стране законског заступника или лица која су актом или одлуком надлежног органа правног лица овлашћена да заступају правно лице. </w:t>
      </w:r>
    </w:p>
    <w:p w:rsidR="004750D6" w:rsidRDefault="008A4DE6">
      <w:pPr>
        <w:spacing w:line="210" w:lineRule="atLeast"/>
      </w:pPr>
      <w:r>
        <w:rPr>
          <w:rFonts w:ascii="Verdana" w:eastAsia="Verdana" w:hAnsi="Verdana" w:cs="Verdana"/>
        </w:rPr>
        <w:t>Решење о сагласности на правила игре из става 1. ово</w:t>
      </w:r>
      <w:r>
        <w:rPr>
          <w:rFonts w:ascii="Verdana" w:eastAsia="Verdana" w:hAnsi="Verdana" w:cs="Verdana"/>
        </w:rPr>
        <w:t>г члана доноси Управа за игре на срећу (у даљем тексту: Управа).</w:t>
      </w:r>
    </w:p>
    <w:p w:rsidR="004750D6" w:rsidRDefault="008A4DE6">
      <w:pPr>
        <w:spacing w:line="210" w:lineRule="atLeast"/>
      </w:pPr>
      <w:r>
        <w:rPr>
          <w:rFonts w:ascii="Verdana" w:eastAsia="Verdana" w:hAnsi="Verdana" w:cs="Verdana"/>
        </w:rPr>
        <w:t>Правном лицу које је добило сагласност Управе на правила игара, одузеће се та сагласност у случају доношења решења о одбијању или одбацивању захтева за приређивање игара на срећу у року од 30</w:t>
      </w:r>
      <w:r>
        <w:rPr>
          <w:rFonts w:ascii="Verdana" w:eastAsia="Verdana" w:hAnsi="Verdana" w:cs="Verdana"/>
        </w:rPr>
        <w:t xml:space="preserve"> дана од дана коначности истог.</w:t>
      </w:r>
    </w:p>
    <w:p w:rsidR="004750D6" w:rsidRDefault="008A4DE6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3.</w:t>
      </w:r>
    </w:p>
    <w:p w:rsidR="004750D6" w:rsidRDefault="008A4DE6">
      <w:pPr>
        <w:spacing w:line="210" w:lineRule="atLeast"/>
      </w:pPr>
      <w:r>
        <w:rPr>
          <w:rFonts w:ascii="Verdana" w:eastAsia="Verdana" w:hAnsi="Verdana" w:cs="Verdana"/>
        </w:rPr>
        <w:t>Правила игара на срећу утврђује правно лице које подноси захтев за приређивање игара на срећу, односно приређивач.</w:t>
      </w:r>
    </w:p>
    <w:p w:rsidR="004750D6" w:rsidRDefault="008A4DE6">
      <w:pPr>
        <w:spacing w:line="210" w:lineRule="atLeast"/>
      </w:pPr>
      <w:r>
        <w:rPr>
          <w:rFonts w:ascii="Verdana" w:eastAsia="Verdana" w:hAnsi="Verdana" w:cs="Verdana"/>
        </w:rPr>
        <w:t>Правила игара заједно са законским и подзаконским прописима којима се уређује област игара на срећу и</w:t>
      </w:r>
      <w:r>
        <w:rPr>
          <w:rFonts w:ascii="Verdana" w:eastAsia="Verdana" w:hAnsi="Verdana" w:cs="Verdana"/>
        </w:rPr>
        <w:t xml:space="preserve"> спречавање прања новца и финансирање тероризма, чине правни оквир за приређивање и учествовање у играма на срећу.</w:t>
      </w:r>
    </w:p>
    <w:p w:rsidR="004750D6" w:rsidRDefault="008A4DE6">
      <w:pPr>
        <w:spacing w:line="210" w:lineRule="atLeast"/>
      </w:pPr>
      <w:r>
        <w:rPr>
          <w:rFonts w:ascii="Verdana" w:eastAsia="Verdana" w:hAnsi="Verdana" w:cs="Verdana"/>
        </w:rPr>
        <w:t>Правно лице се обавезује да у приређивању игара на срећу обезбеди спровођење свих правила друштвене одговорности и одговорне игре у складу са</w:t>
      </w:r>
      <w:r>
        <w:rPr>
          <w:rFonts w:ascii="Verdana" w:eastAsia="Verdana" w:hAnsi="Verdana" w:cs="Verdana"/>
        </w:rPr>
        <w:t xml:space="preserve"> позитивним прописима Републике Србије, посебно у делу заштите малолетника, превенције болести зависности код играча у игри и заштите података о личности играча.</w:t>
      </w:r>
    </w:p>
    <w:p w:rsidR="004750D6" w:rsidRDefault="008A4DE6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4. </w:t>
      </w:r>
    </w:p>
    <w:p w:rsidR="004750D6" w:rsidRDefault="008A4DE6">
      <w:pPr>
        <w:spacing w:line="210" w:lineRule="atLeast"/>
      </w:pPr>
      <w:r>
        <w:rPr>
          <w:rFonts w:ascii="Verdana" w:eastAsia="Verdana" w:hAnsi="Verdana" w:cs="Verdana"/>
        </w:rPr>
        <w:lastRenderedPageBreak/>
        <w:t>Правила игре садрже нарочито следеће елементе:</w:t>
      </w:r>
    </w:p>
    <w:p w:rsidR="004750D6" w:rsidRDefault="008A4DE6">
      <w:pPr>
        <w:spacing w:line="210" w:lineRule="atLeast"/>
      </w:pPr>
      <w:r>
        <w:rPr>
          <w:rFonts w:ascii="Verdana" w:eastAsia="Verdana" w:hAnsi="Verdana" w:cs="Verdana"/>
        </w:rPr>
        <w:t>1) назив и седиште приређивача;</w:t>
      </w:r>
    </w:p>
    <w:p w:rsidR="004750D6" w:rsidRDefault="008A4DE6">
      <w:pPr>
        <w:spacing w:line="210" w:lineRule="atLeast"/>
      </w:pPr>
      <w:r>
        <w:rPr>
          <w:rFonts w:ascii="Verdana" w:eastAsia="Verdana" w:hAnsi="Verdana" w:cs="Verdana"/>
        </w:rPr>
        <w:t>2) свр</w:t>
      </w:r>
      <w:r>
        <w:rPr>
          <w:rFonts w:ascii="Verdana" w:eastAsia="Verdana" w:hAnsi="Verdana" w:cs="Verdana"/>
        </w:rPr>
        <w:t>ха приређивања игре;</w:t>
      </w:r>
    </w:p>
    <w:p w:rsidR="004750D6" w:rsidRDefault="008A4DE6">
      <w:pPr>
        <w:spacing w:line="210" w:lineRule="atLeast"/>
      </w:pPr>
      <w:r>
        <w:rPr>
          <w:rFonts w:ascii="Verdana" w:eastAsia="Verdana" w:hAnsi="Verdana" w:cs="Verdana"/>
        </w:rPr>
        <w:t>3) назив органа приређивача који је донео одлуку о приређивању игре, датум и број одлуке;</w:t>
      </w:r>
    </w:p>
    <w:p w:rsidR="004750D6" w:rsidRDefault="008A4DE6">
      <w:pPr>
        <w:spacing w:line="210" w:lineRule="atLeast"/>
      </w:pPr>
      <w:r>
        <w:rPr>
          <w:rFonts w:ascii="Verdana" w:eastAsia="Verdana" w:hAnsi="Verdana" w:cs="Verdana"/>
        </w:rPr>
        <w:t>4) врсту, назив, опис и време трајања игре на срећу;</w:t>
      </w:r>
    </w:p>
    <w:p w:rsidR="004750D6" w:rsidRDefault="008A4DE6">
      <w:pPr>
        <w:spacing w:line="210" w:lineRule="atLeast"/>
      </w:pPr>
      <w:r>
        <w:rPr>
          <w:rFonts w:ascii="Verdana" w:eastAsia="Verdana" w:hAnsi="Verdana" w:cs="Verdana"/>
        </w:rPr>
        <w:t>5) место приређивања игре, односно место примања уплата – улога;</w:t>
      </w:r>
    </w:p>
    <w:p w:rsidR="004750D6" w:rsidRDefault="008A4DE6">
      <w:pPr>
        <w:spacing w:line="210" w:lineRule="atLeast"/>
      </w:pPr>
      <w:r>
        <w:rPr>
          <w:rFonts w:ascii="Verdana" w:eastAsia="Verdana" w:hAnsi="Verdana" w:cs="Verdana"/>
        </w:rPr>
        <w:t>6) услове и ограничења за у</w:t>
      </w:r>
      <w:r>
        <w:rPr>
          <w:rFonts w:ascii="Verdana" w:eastAsia="Verdana" w:hAnsi="Verdana" w:cs="Verdana"/>
        </w:rPr>
        <w:t>чествовање у игри на срећу;</w:t>
      </w:r>
    </w:p>
    <w:p w:rsidR="004750D6" w:rsidRDefault="008A4DE6">
      <w:pPr>
        <w:spacing w:line="210" w:lineRule="atLeast"/>
      </w:pPr>
      <w:r>
        <w:rPr>
          <w:rFonts w:ascii="Verdana" w:eastAsia="Verdana" w:hAnsi="Verdana" w:cs="Verdana"/>
        </w:rPr>
        <w:t>7) поступак и начин омогућавања самоскључења и самоограничења играча;</w:t>
      </w:r>
    </w:p>
    <w:p w:rsidR="004750D6" w:rsidRDefault="008A4DE6">
      <w:pPr>
        <w:spacing w:line="210" w:lineRule="atLeast"/>
      </w:pPr>
      <w:r>
        <w:rPr>
          <w:rFonts w:ascii="Verdana" w:eastAsia="Verdana" w:hAnsi="Verdana" w:cs="Verdana"/>
        </w:rPr>
        <w:t>8) посебна правила у вези бонуса;</w:t>
      </w:r>
    </w:p>
    <w:p w:rsidR="004750D6" w:rsidRDefault="008A4DE6">
      <w:pPr>
        <w:spacing w:line="210" w:lineRule="atLeast"/>
      </w:pPr>
      <w:r>
        <w:rPr>
          <w:rFonts w:ascii="Verdana" w:eastAsia="Verdana" w:hAnsi="Verdana" w:cs="Verdana"/>
        </w:rPr>
        <w:t>9) начин и поступак организовања џекпота-а;</w:t>
      </w:r>
    </w:p>
    <w:p w:rsidR="004750D6" w:rsidRDefault="008A4DE6">
      <w:pPr>
        <w:spacing w:line="210" w:lineRule="atLeast"/>
      </w:pPr>
      <w:r>
        <w:rPr>
          <w:rFonts w:ascii="Verdana" w:eastAsia="Verdana" w:hAnsi="Verdana" w:cs="Verdana"/>
        </w:rPr>
        <w:t xml:space="preserve">10) појединачну цену комбинације, жетона, односно висину уплате-улога, односно количину и новчану вредност емисије срећака; </w:t>
      </w:r>
    </w:p>
    <w:p w:rsidR="004750D6" w:rsidRDefault="008A4DE6">
      <w:pPr>
        <w:spacing w:line="210" w:lineRule="atLeast"/>
      </w:pPr>
      <w:r>
        <w:rPr>
          <w:rFonts w:ascii="Verdana" w:eastAsia="Verdana" w:hAnsi="Verdana" w:cs="Verdana"/>
        </w:rPr>
        <w:t>11) крајњи рок за пријем уплата, жетона или других идентификационих знакова за учешће у игри;</w:t>
      </w:r>
    </w:p>
    <w:p w:rsidR="004750D6" w:rsidRDefault="008A4DE6">
      <w:pPr>
        <w:spacing w:line="210" w:lineRule="atLeast"/>
      </w:pPr>
      <w:r>
        <w:rPr>
          <w:rFonts w:ascii="Verdana" w:eastAsia="Verdana" w:hAnsi="Verdana" w:cs="Verdana"/>
        </w:rPr>
        <w:t>12) износ добитног фонда, резултате и</w:t>
      </w:r>
      <w:r>
        <w:rPr>
          <w:rFonts w:ascii="Verdana" w:eastAsia="Verdana" w:hAnsi="Verdana" w:cs="Verdana"/>
        </w:rPr>
        <w:t>гре, врсту, број и вредност сваког појединачног добитка код приређивача класичних и наградних игара у роби и услугама, као и начин њиховог објављивања;</w:t>
      </w:r>
    </w:p>
    <w:p w:rsidR="004750D6" w:rsidRDefault="008A4DE6">
      <w:pPr>
        <w:spacing w:line="210" w:lineRule="atLeast"/>
      </w:pPr>
      <w:r>
        <w:rPr>
          <w:rFonts w:ascii="Verdana" w:eastAsia="Verdana" w:hAnsi="Verdana" w:cs="Verdana"/>
        </w:rPr>
        <w:t>13) начин и поступак извлачења, односно утврђивања добитака, као и надзор над тим поступком;</w:t>
      </w:r>
    </w:p>
    <w:p w:rsidR="004750D6" w:rsidRDefault="008A4DE6">
      <w:pPr>
        <w:spacing w:line="210" w:lineRule="atLeast"/>
      </w:pPr>
      <w:r>
        <w:rPr>
          <w:rFonts w:ascii="Verdana" w:eastAsia="Verdana" w:hAnsi="Verdana" w:cs="Verdana"/>
        </w:rPr>
        <w:t>14) начин и</w:t>
      </w:r>
      <w:r>
        <w:rPr>
          <w:rFonts w:ascii="Verdana" w:eastAsia="Verdana" w:hAnsi="Verdana" w:cs="Verdana"/>
        </w:rPr>
        <w:t xml:space="preserve"> рок исплате новчаних добитака, односно остваривања добитака друге врсте;</w:t>
      </w:r>
    </w:p>
    <w:p w:rsidR="004750D6" w:rsidRDefault="008A4DE6">
      <w:pPr>
        <w:spacing w:line="210" w:lineRule="atLeast"/>
      </w:pPr>
      <w:r>
        <w:rPr>
          <w:rFonts w:ascii="Verdana" w:eastAsia="Verdana" w:hAnsi="Verdana" w:cs="Verdana"/>
        </w:rPr>
        <w:t>15) начин обавештавања учесника у игри о правилима игре;</w:t>
      </w:r>
    </w:p>
    <w:p w:rsidR="004750D6" w:rsidRDefault="008A4DE6">
      <w:pPr>
        <w:spacing w:line="210" w:lineRule="atLeast"/>
      </w:pPr>
      <w:r>
        <w:rPr>
          <w:rFonts w:ascii="Verdana" w:eastAsia="Verdana" w:hAnsi="Verdana" w:cs="Verdana"/>
        </w:rPr>
        <w:t>16) поступак у случају отказивања извлачења, односно спортског или другог догађаја;</w:t>
      </w:r>
    </w:p>
    <w:p w:rsidR="004750D6" w:rsidRDefault="008A4DE6">
      <w:pPr>
        <w:spacing w:line="210" w:lineRule="atLeast"/>
      </w:pPr>
      <w:r>
        <w:rPr>
          <w:rFonts w:ascii="Verdana" w:eastAsia="Verdana" w:hAnsi="Verdana" w:cs="Verdana"/>
        </w:rPr>
        <w:t>17) одговорност приређивача за обавезе према учесницима у игри;</w:t>
      </w:r>
    </w:p>
    <w:p w:rsidR="004750D6" w:rsidRDefault="008A4DE6">
      <w:pPr>
        <w:spacing w:line="210" w:lineRule="atLeast"/>
      </w:pPr>
      <w:r>
        <w:rPr>
          <w:rFonts w:ascii="Verdana" w:eastAsia="Verdana" w:hAnsi="Verdana" w:cs="Verdana"/>
        </w:rPr>
        <w:t>18) надлежност суда у случају спора између приређивача и учесника у игри;</w:t>
      </w:r>
    </w:p>
    <w:p w:rsidR="004750D6" w:rsidRDefault="008A4DE6">
      <w:pPr>
        <w:spacing w:line="210" w:lineRule="atLeast"/>
      </w:pPr>
      <w:r>
        <w:rPr>
          <w:rFonts w:ascii="Verdana" w:eastAsia="Verdana" w:hAnsi="Verdana" w:cs="Verdana"/>
        </w:rPr>
        <w:t>19) друге елементе за које приређивач процени да су од значаја за приређивање игре.</w:t>
      </w:r>
    </w:p>
    <w:p w:rsidR="004750D6" w:rsidRDefault="008A4DE6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5. </w:t>
      </w:r>
    </w:p>
    <w:p w:rsidR="004750D6" w:rsidRDefault="008A4DE6">
      <w:pPr>
        <w:spacing w:line="210" w:lineRule="atLeast"/>
      </w:pPr>
      <w:r>
        <w:rPr>
          <w:rFonts w:ascii="Verdana" w:eastAsia="Verdana" w:hAnsi="Verdana" w:cs="Verdana"/>
        </w:rPr>
        <w:t xml:space="preserve">Правила игре морају бити </w:t>
      </w:r>
      <w:r>
        <w:rPr>
          <w:rFonts w:ascii="Verdana" w:eastAsia="Verdana" w:hAnsi="Verdana" w:cs="Verdana"/>
        </w:rPr>
        <w:t>истакнута на видном месту у просторији у којој се игра приређује или објављена на други начин у зависности од врсте игре на срећу која се приређује.</w:t>
      </w:r>
    </w:p>
    <w:p w:rsidR="004750D6" w:rsidRDefault="008A4DE6">
      <w:pPr>
        <w:spacing w:line="210" w:lineRule="atLeast"/>
      </w:pPr>
      <w:r>
        <w:rPr>
          <w:rFonts w:ascii="Verdana" w:eastAsia="Verdana" w:hAnsi="Verdana" w:cs="Verdana"/>
        </w:rPr>
        <w:t>У случају приређивања игара на срећу преко средстава електронске комуникације, правила игре морају бити јас</w:t>
      </w:r>
      <w:r>
        <w:rPr>
          <w:rFonts w:ascii="Verdana" w:eastAsia="Verdana" w:hAnsi="Verdana" w:cs="Verdana"/>
        </w:rPr>
        <w:t>но истакнута на веб презентацији, односно на порталу приређивача преко кога учесник учествује у играма на срећу, на очигледном месту и на такав начин да могу бити лако доступна за читање, преузимање и похрањивање (чување) посетиоцима интернет адресе, однос</w:t>
      </w:r>
      <w:r>
        <w:rPr>
          <w:rFonts w:ascii="Verdana" w:eastAsia="Verdana" w:hAnsi="Verdana" w:cs="Verdana"/>
        </w:rPr>
        <w:t>но портала приређивача.</w:t>
      </w:r>
    </w:p>
    <w:p w:rsidR="004750D6" w:rsidRDefault="008A4DE6">
      <w:pPr>
        <w:spacing w:line="210" w:lineRule="atLeast"/>
      </w:pPr>
      <w:r>
        <w:rPr>
          <w:rFonts w:ascii="Verdana" w:eastAsia="Verdana" w:hAnsi="Verdana" w:cs="Verdana"/>
        </w:rPr>
        <w:lastRenderedPageBreak/>
        <w:t>Правила игре не могу се мењати у току трајања игре.</w:t>
      </w:r>
    </w:p>
    <w:p w:rsidR="004750D6" w:rsidRDefault="008A4DE6">
      <w:pPr>
        <w:spacing w:line="210" w:lineRule="atLeast"/>
        <w:jc w:val="center"/>
      </w:pPr>
      <w:r>
        <w:rPr>
          <w:rFonts w:ascii="Verdana" w:eastAsia="Verdana" w:hAnsi="Verdana" w:cs="Verdana"/>
        </w:rPr>
        <w:t>Члан 6.</w:t>
      </w:r>
    </w:p>
    <w:p w:rsidR="004750D6" w:rsidRDefault="008A4DE6">
      <w:pPr>
        <w:spacing w:line="210" w:lineRule="atLeast"/>
      </w:pPr>
      <w:r>
        <w:rPr>
          <w:rFonts w:ascii="Verdana" w:eastAsia="Verdana" w:hAnsi="Verdana" w:cs="Verdana"/>
        </w:rPr>
        <w:t>Правила игре примењују се по добијању сагласности Управе и добијању дозволе, одобрења, односно сагласности за приређивање наградне игре.</w:t>
      </w:r>
    </w:p>
    <w:p w:rsidR="004750D6" w:rsidRDefault="008A4DE6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7. </w:t>
      </w:r>
    </w:p>
    <w:p w:rsidR="004750D6" w:rsidRDefault="008A4DE6">
      <w:pPr>
        <w:spacing w:line="210" w:lineRule="atLeast"/>
      </w:pPr>
      <w:r>
        <w:rPr>
          <w:rFonts w:ascii="Verdana" w:eastAsia="Verdana" w:hAnsi="Verdana" w:cs="Verdana"/>
        </w:rPr>
        <w:t>Даном ступања на снагу ово</w:t>
      </w:r>
      <w:r>
        <w:rPr>
          <w:rFonts w:ascii="Verdana" w:eastAsia="Verdana" w:hAnsi="Verdana" w:cs="Verdana"/>
        </w:rPr>
        <w:t xml:space="preserve">г правилника престаје да важи Правилник о ближим условима, односно садржини правила игара на срећу („Службени гласник РС”, број 152/20). </w:t>
      </w:r>
    </w:p>
    <w:p w:rsidR="004750D6" w:rsidRDefault="008A4DE6">
      <w:pPr>
        <w:spacing w:line="210" w:lineRule="atLeast"/>
        <w:jc w:val="center"/>
      </w:pPr>
      <w:r>
        <w:rPr>
          <w:rFonts w:ascii="Verdana" w:eastAsia="Verdana" w:hAnsi="Verdana" w:cs="Verdana"/>
        </w:rPr>
        <w:t xml:space="preserve">Члан 8. </w:t>
      </w:r>
    </w:p>
    <w:p w:rsidR="004750D6" w:rsidRDefault="008A4DE6">
      <w:pPr>
        <w:spacing w:line="210" w:lineRule="atLeast"/>
      </w:pPr>
      <w:r>
        <w:rPr>
          <w:rFonts w:ascii="Verdana" w:eastAsia="Verdana" w:hAnsi="Verdana" w:cs="Verdana"/>
        </w:rPr>
        <w:t>Овај правилник ступа на снагу осмог дана од дана објављивања у „Службеном гласнику Републике Србије”.</w:t>
      </w:r>
    </w:p>
    <w:p w:rsidR="004750D6" w:rsidRDefault="008A4DE6">
      <w:pPr>
        <w:spacing w:line="210" w:lineRule="atLeast"/>
        <w:jc w:val="right"/>
      </w:pPr>
      <w:r>
        <w:rPr>
          <w:rFonts w:ascii="Verdana" w:eastAsia="Verdana" w:hAnsi="Verdana" w:cs="Verdana"/>
        </w:rPr>
        <w:t>Број 00</w:t>
      </w:r>
      <w:r>
        <w:rPr>
          <w:rFonts w:ascii="Verdana" w:eastAsia="Verdana" w:hAnsi="Verdana" w:cs="Verdana"/>
        </w:rPr>
        <w:t>1203074 2025 10520 027 000 012 001</w:t>
      </w:r>
    </w:p>
    <w:p w:rsidR="004750D6" w:rsidRDefault="008A4DE6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4. априла 2025. године</w:t>
      </w:r>
    </w:p>
    <w:p w:rsidR="004750D6" w:rsidRDefault="008A4DE6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Министар, </w:t>
      </w:r>
    </w:p>
    <w:p w:rsidR="004750D6" w:rsidRDefault="008A4DE6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 xml:space="preserve">Синиша Мали, </w:t>
      </w:r>
      <w:r>
        <w:rPr>
          <w:rFonts w:ascii="Verdana" w:eastAsia="Verdana" w:hAnsi="Verdana" w:cs="Verdana"/>
        </w:rPr>
        <w:t>с.р.</w:t>
      </w:r>
    </w:p>
    <w:sectPr w:rsidR="004750D6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D6"/>
    <w:rsid w:val="004750D6"/>
    <w:rsid w:val="008A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F1B37B-67ED-43F4-930E-DFD57CE4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2025-04-14T08:12:00Z</dcterms:created>
  <dcterms:modified xsi:type="dcterms:W3CDTF">2025-04-14T08:12:00Z</dcterms:modified>
</cp:coreProperties>
</file>